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D-6006/2022 vom 8. Mai 2023</w:t>
      </w:r>
    </w:p>
    <w:p>
      <w:r>
        <w:t>Bundesverwaltungsgericht, 2023-05-08, DE</w:t>
      </w:r>
    </w:p>
    <w:p>
      <w:r>
        <w:rPr>
          <w:b/>
        </w:rPr>
        <w:t xml:space="preserve">Quelle: </w:t>
      </w:r>
      <w:r>
        <w:t>https://mcp.opencaselaw.ch/entscheid/bvger_D-6006_2022</w:t>
      </w:r>
    </w:p>
    <w:p>
      <w:r>
        <w:t>FR: TAF D-6006/2022 du 8 mai 2023</w:t>
      </w:r>
    </w:p>
    <w:p>
      <w:r>
        <w:t>IT: TAF D-6006/2022 del 8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 aufgrund des in der hier relevanten Rechtsfrage in der Zwischenzeit ergangenen Referenzurteils des Bundesverwaltungsgerichts E-1488/2020 vom 22. März 2023 (zur Publikation als BVGE vorgesehen) - um eine im Urteilszeitpunkt unbegründet gewordene Beschwerde, weshalb der Entscheid summarisch zu begründen ist (Art. 111a Abs. 2 AsylG). Gestützt auf Art. 111a Abs. 1 AsylG wurde auf die Durchführung eines Schriftenwechsels verzichtet.</w:t>
      </w:r>
    </w:p>
    <w:p>
      <w:r>
        <w:rPr>
          <w:b/>
        </w:rPr>
        <w:t>E. 4.1</w:t>
      </w:r>
    </w:p>
    <w:p>
      <w:r>
        <w:t>Der Beschwerdeführer macht in formeller Hinsicht eine unvollständige und ungenügende Feststellung des rechtserheblichen Sachverhalts und eine Verletzung des Anspruchs auf rechtliches Gehör beziehungsweise der Begründungspflicht geltend. Das SEM habe die Gefahr, welcher er in Kroatien ausgesetzt wäre, nicht individuell geprüft, sondern sich nur auf behördliche Aussagen und pauschale Versprechungen berufen. Auch habe das SEM den Sachverhalt bezüglich der systemischen Schwachstellen in Kroatien nicht ausreichend abgeklärt und Berichte von NGO's nicht beachtet. Insbesondere lasse ein Zitat des Centre for Peace Studies (CPS) aus einem Bericht der Wochenzeitung (WOZ, Eine Kette der Verachtung, 22. Dezember 2022), darauf schliessen, dass der Sachverhalt nicht ausreichend oder sogar falsch abgeklärt worden sei. Sodann habe das SEM nicht beachtet, dass deutsche Gerichte in den letzten Wochen und Monaten immer wieder Überstellungen nach Kroatien gerichtlich gestoppt und als unzumutbar erklärt sowie systemische Mängel festgestellt hätten.</w:t>
      </w:r>
    </w:p>
    <w:p>
      <w:r>
        <w:rPr>
          <w:b/>
        </w:rPr>
        <w:t>E. 4.2</w:t>
      </w:r>
    </w:p>
    <w:p>
      <w:r>
        <w:t>Das SEM setzte sich mit der Kritik an den kroatischen Behörden, insbesondere mit den sogenannten Push-backs unter teilweiser Gewaltanwendung, ausführlich auseinander und stellt dabei fest, dass keine Hinweise dafür vorliegen würden, dass den Dublin-Rückkehrenden eine Rückschiebung nach Bosnien und Herzegowina (Kettenabschiebung) oder systematisch Gewalt seitens der kroatischen Polizeibehörde drohe. Zudem verweist das SEM darauf, dass in Kroatien der Zugang zu wirksamen Rechtsmitteln gewährleistet sei. Der rechtserhebliche Sachverhalt wurde diesbezüglich vollständig festgestellt. Der angeführte WOZ-Bericht beziehungsweise ein in diesem enthaltenes Zitat ist per se nicht geeignet, Zweifel an der Ernsthaftigkeit der durch das SEM durchgeführten Abklärungen zur Situation von Dublin-Rückkehrenden aufkommen zu lassen. Allein aus dem Umstand, dass der Beschwerdeführer die Einschätzung und die Schlussfolgerung des SEM nicht teilt, beziehungsweise durch den Verweis auf einzelne deutsche Gerichtsurteile lässt sich keine Verletzung der Abklärungspflicht, des Anspruchs auf rechtliches Gehör oder der Begründungspflicht ableiten. Vielmehr handelt es sich um materielle Fragen.</w:t>
      </w:r>
    </w:p>
    <w:p>
      <w:r>
        <w:rPr>
          <w:b/>
        </w:rPr>
        <w:t>E. 4.3</w:t>
      </w:r>
    </w:p>
    <w:p>
      <w:r>
        <w:t>Die formellen Rügen erweisen sich nach dem Gesagten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5.2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Kriterien in der dort aufgeführten Rangfolge anzuwenden.</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Der Abgleich der Fingerabdrücke des Beschwerdeführers ergab, dass er am 4. September 2022 in Kroatien daktyloskopisch erfasst worden ist. An dieser Tatsache vermögen die Angaben, unter welchen Umständen die Fingerabdrücke abgenommen worden seien (vgl. Sachverhalt Bst. C.b), nichts zu ändern. Die kroatischen Behörden stimmten dem Gesuch des SEM um Übernahme am 12. Dezember 2022 gestützt auf Art. 13 Abs. 1 Dublin-III-VO zu. Vor diesem Hintergrund ist die grundsätzliche Zuständigkeit Kroatiens zur Durchführung des Asyl- und Wegweisungsverfahrens demnach gegeben.</w:t>
      </w:r>
    </w:p>
    <w:p>
      <w:r>
        <w:rPr>
          <w:b/>
        </w:rPr>
        <w:t>E. 7.1</w:t>
      </w:r>
    </w:p>
    <w:p>
      <w:r>
        <w:t>Im Lichte von Art. 3 Abs. 2 Dublin-III-VO ist zu prüfen, ob es wesentliche Gründe für die Annahme gibt, dass das Asylverfahren und die Aufnahmebedingungen für Asylsuchende in Kroatien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Im zur Publikation vorgesehenen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hielt fest, der Verdacht eines - angesichts der Situation in Kroatien (vgl. a.a.O. E. 9.4.2 f.) auf den ersten Blick nicht unbegründeten - Gefährdungszusammenhangs zwischen Push-backs und Dublin-Rückkehrenden lasse sich aufgrund der verfügbaren Informationen und Erkenntnisse nicht erhärten.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solches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erhalten;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w:t>
      </w:r>
    </w:p>
    <w:p>
      <w:r>
        <w:rPr>
          <w:b/>
        </w:rPr>
        <w:t>E. 7.4</w:t>
      </w:r>
    </w:p>
    <w:p>
      <w:r>
        <w:t>Unter diesen Umständen ist gestützt auf diese neue Rechtsprechung vorliegend die Anwendung von Art. 3 Abs. 2 Dublin-III-VO nicht gerechtfertigt. Von einer Überstellung ist schliesslich nur in Ausnahmefällen abzusehen. Dafür bedarf es substantiierter Vorbringen, die geeignet sind darzulegen, dass die generelle Annahme - wie im Referenzurteil E-1488/2020 vom 22. März 2023 dargestellt - im Einzelfall nicht zutrifft. Dies gelingt dem Beschwerdeführer mit seinen anlässlich des Dublin-Gesprächs (vgl. Sachverhalt Bst. C.b) und in der Beschwerde (vgl. dort S. 2 f.) geschilderten Erlebnisse nicht.</w:t>
      </w:r>
    </w:p>
    <w:p>
      <w:r>
        <w:rPr>
          <w:b/>
        </w:rPr>
        <w:t>E. 7.5</w:t>
      </w:r>
    </w:p>
    <w:p>
      <w:r>
        <w:t>Unter diesen Umständen ist die Anwendbarkeit von Art. 3 Abs. 2 Dublin-III-VO nicht gerechtfertigt.</w:t>
      </w:r>
    </w:p>
    <w:p>
      <w:r>
        <w:rPr>
          <w:b/>
        </w:rPr>
        <w:t>E. 8.1</w:t>
      </w:r>
    </w:p>
    <w:p>
      <w:r>
        <w:t>Den Akten sind sodann keine Anhaltspunkte zu entnehmen, die eine Ausübung des Selbsteintrittsrechts der Schweiz nach Art. 17 Abs. 1 Satz 1 Dublin-III-VO verlangen würden.</w:t>
      </w:r>
    </w:p>
    <w:p>
      <w:r>
        <w:rPr>
          <w:b/>
        </w:rPr>
        <w:t>E. 8.2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konkreten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Weiter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nötigenfalls an die dortigen Behörden wenden und die ihm zustehenden Aufnahmebedingungen auf dem Rechtsweg einfordern (vgl. Art. 26 Aufnahmerichtlinie).</w:t>
      </w:r>
    </w:p>
    <w:p>
      <w:r>
        <w:rPr>
          <w:b/>
        </w:rPr>
        <w:t>E. 8.3</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den Beschwerdeführer wiederaufzunehmen.</w:t>
      </w:r>
    </w:p>
    <w:p>
      <w:r>
        <w:rPr>
          <w:b/>
        </w:rPr>
        <w:t>E. 9</w:t>
      </w:r>
    </w:p>
    <w:p>
      <w:r>
        <w:t>Die Vorinstanz ist angesichts der vorstehenden Erwägungen zu Recht nicht auf das Asylgesuch des Beschwerdeführers eingetreten und hat seine Überstellung nach Kroatien verfügt (vgl. Art. 31a Abs. 1 Bst. b und Art. 44 AsylG). Die Beschwerde ist abzuweisen.</w:t>
      </w:r>
    </w:p>
    <w:p>
      <w:r>
        <w:rPr>
          <w:b/>
        </w:rPr>
        <w:t>E. 10</w:t>
      </w:r>
    </w:p>
    <w:p>
      <w:r>
        <w:t>Bei diesem Ausgang des Verfahrens sind dessen Kosten grundsätzlich dem Beschwerdeführer aufzuerlegen (Art. 63 Abs. 1 VwVG). Da ihm indessen mit Zwischenverfügung vom 12. Januar 2023 die unentgeltliche Prozessführung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