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D-6006/2014 vom 27. November 2014</w:t>
      </w:r>
    </w:p>
    <w:p>
      <w:r>
        <w:t>Bundesverwaltungsgericht, 2014-11-27, DE</w:t>
      </w:r>
    </w:p>
    <w:p>
      <w:r>
        <w:rPr>
          <w:b/>
        </w:rPr>
        <w:t xml:space="preserve">Quelle: </w:t>
      </w:r>
      <w:r>
        <w:t>https://mcp.opencaselaw.ch/entscheid/bvger_D-6006_2014</w:t>
      </w:r>
    </w:p>
    <w:p>
      <w:r>
        <w:t>FR: TAF D-6006/2014 du 27 novembre 2014</w:t>
      </w:r>
    </w:p>
    <w:p>
      <w:r>
        <w:t>IT: TAF D-6006/2014 del 27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vorliegende Urteil ergeht gestützt auf die Übergangsbestimmung zur Änderung des Asylgesetzes vom 28. September 2012 (in Kraft getreten am 29. September 2012; AS 2012 5359), wonach für Asylgesuche, die im Ausland vor dem Inkrafttreten der Änderung vom 28. September 2012 gestellt worden sind, die Art. 12, 19, 20, 41, 52 und 68 AsylG in der bisherigen Fassung Geltung haben. Nachfolgend wird deshalb auf die genannten Normen des AsylG und die entsprechenden Ausführungsbestimmungen in dieser bisherigen Fassung verwiesen.</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(vgl. Art. 105 AsylG; Art. 48 Abs. 1 VwVG).</w:t>
      </w:r>
    </w:p>
    <w:p>
      <w:r>
        <w:rPr>
          <w:b/>
        </w:rPr>
        <w:t>E. 1.4.1</w:t>
      </w:r>
    </w:p>
    <w:p>
      <w:r>
        <w:t>Bei der vorliegenden Beschwerde handelt es sich um eine sogenannte "Laienbeschwerde", an die keine zu hohen formellen Anforderungen zu stellen sind.</w:t>
      </w:r>
    </w:p>
    <w:p>
      <w:r>
        <w:rPr>
          <w:b/>
        </w:rPr>
        <w:t>E. 1.4.2</w:t>
      </w:r>
    </w:p>
    <w:p>
      <w:r>
        <w:t>Mit dem Erfordernis einer Originalunterschrift nach Art. 52 Abs. 1 VwVG soll in der Verwaltungsrechtspflege die Gefahr einer Manipulation ausgeschlossen werden, insbesondere die Möglichkeit einer Beschwerdeeinreichung durch eine vom Verfügungsadressaten nicht autorisierte Drittperson. Ein über diese Absicht der Missbrauchsbekämpfung hinausgehender Selbstzweck kommt der genannten Bestimmung indessen nicht zu (vgl. Entscheidungen und Mitteilungen der Schweizerischen Asylrekurskommission [EMARK] 2003 Nr. 16 E. 2d).</w:t>
      </w:r>
    </w:p>
    <w:p>
      <w:r>
        <w:rPr>
          <w:b/>
        </w:rPr>
        <w:t>E. 1.4.3</w:t>
      </w:r>
    </w:p>
    <w:p>
      <w:r>
        <w:t>Die Vertreterin der Beschwerdeführerin liess die mit Zwischenverfügung vom 21. Oktober 2014 gesetzte Frist zur Verbesserung der Beschwerde (Unterschrift) ungenutzt verstreichen, was die Sanktion des Nichteintretens auf die Beschwerde zur Folge hätte. Vorliegend ist jedoch zu berücksichtigen, dass die Beschwerdeführerin persönlich und innerhalb der Rechtsmittelfrist ihren Willen zur Beschwerdeerhebung bekundet hat (vgl. Bst. E vorstehend). Unter Berücksichtigung von Sinn und Zweck der Bestimmung von Art. 52 Abs. 1 VwVG und als Ausdruck des Verbots des überspitzten Formalismus ist der ursprüngliche Formmangel (fehlende Unterschrift) als geheilt zu erachten.</w:t>
      </w:r>
    </w:p>
    <w:p>
      <w:r>
        <w:rPr>
          <w:b/>
        </w:rPr>
        <w:t>E. 1.4.4</w:t>
      </w:r>
    </w:p>
    <w:p>
      <w:r>
        <w:t>Die Beschwerde ist somit frist- und formgerecht eingereicht (vgl. 108 Abs. 1 AsylG; Art. 52 Abs. 1 VwVG).</w:t>
      </w:r>
    </w:p>
    <w:p>
      <w:r>
        <w:rPr>
          <w:b/>
        </w:rPr>
        <w:t>E. 1.5</w:t>
      </w:r>
    </w:p>
    <w:p>
      <w:r>
        <w:t>Auf die Beschwerde ist einzutreten.</w:t>
      </w:r>
    </w:p>
    <w:p>
      <w:r>
        <w:rPr>
          <w:b/>
        </w:rPr>
        <w:t>E. 2</w:t>
      </w:r>
    </w:p>
    <w:p>
      <w:r>
        <w:t>Die Kognition des Bundesverwaltungsgerichts sowie die Rügemöglichkeiten richten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Ein Asylgesuch kann gemäss aArt. 19 Abs. 1 AsylG im Ausland bei einer schweizerischen Vertretung gestellt werden, die es mit einem Bericht an das BFM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w:t>
      </w:r>
    </w:p>
    <w:p>
      <w:r>
        <w:rPr>
          <w:b/>
        </w:rPr>
        <w:t>E. 4.2</w:t>
      </w:r>
    </w:p>
    <w:p>
      <w:r>
        <w:t>Vor dem Hintergrund der massgeblichen Praxis zur Behandlung von Asylgesuchen aus dem Ausland sowie unter Berücksichtigung der gesamten Aktenlage ist festzuhalten, dass in der vorliegenden Sache auf eine Befragung der Beschwerdeführerinnen verzichtet werden durfte und mit der Einladung zur Stellungnahme den massgeblichen verfahrensrechtlichen Anforderungen Genüge getan wurde (vgl. dazu BVGE 2007/30).</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um Asyl nachsucht, muss die Flüchtlingseigenschaft nachweisen oder zumindest glaubhaft machen (Art. 7 Abs. 1 AsylG). Das BFM kann ein im Ausland gestelltes Asylgesuch ablehnen, wenn es der asylsuchende Person zugemutet werden kann, sich in einem anderen Staat um Aufnahme zu bemühen (aArt. 52 Abs. 2 AsylG).</w:t>
      </w:r>
    </w:p>
    <w:p>
      <w:r>
        <w:rPr>
          <w:b/>
        </w:rPr>
        <w:t>E. 5.2</w:t>
      </w:r>
    </w:p>
    <w:p>
      <w:r>
        <w:t>Nach aArt. 20 Abs. 2 AsylG bewilligt das Bundesamt einer asylsuchenden Person die Einreise in die Schweiz zur Abklärung des Sachverhaltes, wenn ihr nicht zugemutet werden kann, im Wohnsitz- oder Aufenthaltsstaat zu bleiben oder in ein anderes Land auszureisen. Bei diesem Entscheid rechtfertigt es sich, die Voraussetzungen restriktive zu um 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 zugemutet werden kann (vgl. BVGE 2011/10 E. 3.3 m.w.H.).</w:t>
      </w:r>
    </w:p>
    <w:p>
      <w:r>
        <w:rPr>
          <w:b/>
        </w:rPr>
        <w:t>E. 5.3</w:t>
      </w:r>
    </w:p>
    <w:p>
      <w:r>
        <w:t>Das Bestehen der Flüchtlingseigenschaft allein aufgrund von subjektiven Nachfluchtgründen schliesst die Bewilligung zur Einreise in einem Auslandverfahren von vornherein aus. Demzufolge kommt der Frage massgebliches Gewicht zu, ob die Person, die aus einem Drittstaat ein Asylgesuch stellt, zum Zeitpunkt der Ausreise asylrechtlich relevante Verfolgung zu gewärtigen hatte (vgl. BVGE 2012/26 E. 7).</w:t>
      </w:r>
    </w:p>
    <w:p>
      <w:r>
        <w:rPr>
          <w:b/>
        </w:rPr>
        <w:t>E. 6.1</w:t>
      </w:r>
    </w:p>
    <w:p>
      <w:r>
        <w:t>Der Entscheid des BFM ist in allen Teilen zu stützen. Die Vorbringen in der Beschwerdeschrift stellen weitgehend Wiederholungen der im erstinstanzlichen Verfahren geltend gemachten Asylgründe dar. Die Beschwerdeführerin setzt sich mit der Begründung der vorinstanzlichen Verfügung nicht stichhaltig auseinander. Das Bundesverwaltungsgericht beschränkt sich deshalb auf die Ausführungen in der nachstehenden Erwägung.</w:t>
      </w:r>
    </w:p>
    <w:p>
      <w:r>
        <w:rPr>
          <w:b/>
        </w:rPr>
        <w:t>E. 6.2</w:t>
      </w:r>
    </w:p>
    <w:p>
      <w:r>
        <w:t>Das Bundesverwaltungsgericht bestätigt die Feststellung des BFM, wonach die Beschwerdeführerin zum Zeitpunkt der Ausreise aus Eritrea keine asylrelevante Gefährdung zu befürchten hatte. Sie verbrachte nach eigenen Angaben etwa zwei Jahre mit ihrem Partner in Tesseney, bis dieser aus Eritrea ausreiste. Das erst in der Stellungnahme vom 12. Juni 2014 eingebrachte Vorbringen, sie sei dort ihrem ehemaligen Arbeitgeber begegnet und von diesem abermals bedroht worden, erscheint nachgeschoben und konstruiert, zumal sie in ihrer ersten Eingabe vom 14. Mai 2012 ausdrücklich angab, in den Sudan geflüchtet zu sein, weil ihr nach der Ausreise ihres Partners die Bewältigung des Alltags schwer gefallen sei. Bei dieser Konstellation - Fehlen einer asylrelevanten Gefährdung nach vollständig erstelltem Sachverhalt - erübrigt sich die Prüfung der Zumutbarkeit eines Verbleibs im Drittstaat sowie der Beziehungsnähe zur Schweiz. Im Übrigen ist der Hinweis des BFM zu bestätigen, die Beschwerdeführerin könne bei allfälligen Schwierigkeiten im Sudan sich an das UNHCR wenden.</w:t>
      </w:r>
    </w:p>
    <w:p>
      <w:r>
        <w:rPr>
          <w:b/>
        </w:rPr>
        <w:t>E. 6.3</w:t>
      </w:r>
    </w:p>
    <w:p>
      <w:r>
        <w:t>Zusammenfassend ist festzustellen, dass das BFM der Beschwerdeführerin zu Recht die Einreise in die Schweiz verweigert und das Asylgesuch aus dem Ausland abgelehnt hat.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