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D-6005/2023 vom 26. Februar 2024</w:t>
      </w:r>
    </w:p>
    <w:p>
      <w:r>
        <w:t>Bundesverwaltungsgericht, 2024-02-26, FR</w:t>
      </w:r>
    </w:p>
    <w:p>
      <w:r>
        <w:rPr>
          <w:b/>
        </w:rPr>
        <w:t xml:space="preserve">Quelle: </w:t>
      </w:r>
      <w:r>
        <w:t>https://mcp.opencaselaw.ch/entscheid/bvger_D-6005_2023</w:t>
      </w:r>
    </w:p>
    <w:p>
      <w:r>
        <w:t>FR: TAF D-6005/2023 du 26 février 2024</w:t>
      </w:r>
    </w:p>
    <w:p>
      <w:r>
        <w:t>IT: TAF D-6005/2023 del 26 febbraio 2024</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requête d'assistance judiciaire partielle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Le greffier : Yanick Felley Léo Charveys Expédition :</w:t>
      </w:r>
    </w:p>
    <w:p>
      <w:r>
        <w:rPr>
          <w:b/>
        </w:rPr>
        <w:t>E. 17</w:t>
      </w:r>
    </w:p>
    <w:p>
      <w:r>
        <w:t>janvier 2024 consid. 7.2 ; D-4953/2023 du 26 octobre 2023 p. 9), que la situation personnelle du recourant n’amène pas non plus à déclarer inexigible l’exécution du renvoi, que, jeune et en bonne santé, le requérant dispose de la majorité de son réseau familial en E._______, région où il a toujours vécu, qu’en outre, celui-ci pourra, cas échéant, trouver de l’aide auprès de sa famille, en particulier de sa mère, dont la décision de renvoi est entrée en force, le 14 novembre 2023, que l'exécution du renvoi est enfin possible (art. 83 al. 2 LEI ; cf. ATAF 2008/34 consid. 12 et jurisp. cit.), le recourant étant tenu de collaborer à l'obtention de documents de voyage lui permettant de retourner dans son pays d'origine (art. 8 al. 4 LAsi),</w:t>
      </w:r>
    </w:p>
    <w:p>
      <w:r>
        <w:t>D-6005/2023 Page 9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d'une seconde juge (art. 111 let. e LAsi), que, par le présent prononcé, la demande de dispense d’avance de frais de procédure est sans objet (art. 63 al. 4 PA), que la requête d'assistance judiciaire partielle doit être rejetée, les conclusions du recours étant d'emblée vouées à l'échec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page suivante)</w:t>
      </w:r>
    </w:p>
    <w:p>
      <w:r>
        <w:t>D-6005/2023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