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D-6005/2011 vom 21. Dezember 2011</w:t>
      </w:r>
    </w:p>
    <w:p>
      <w:r>
        <w:t>Bundesverwaltungsgericht, 2011-12-21, DE</w:t>
      </w:r>
    </w:p>
    <w:p>
      <w:r>
        <w:rPr>
          <w:b/>
        </w:rPr>
        <w:t xml:space="preserve">Quelle: </w:t>
      </w:r>
      <w:r>
        <w:t>https://mcp.opencaselaw.ch/entscheid/bvger_D-6005_2011</w:t>
      </w:r>
    </w:p>
    <w:p>
      <w:r>
        <w:t>FR: TAF D-6005/2011 du 21 décembre 2011</w:t>
      </w:r>
    </w:p>
    <w:p>
      <w:r>
        <w:t>IT: TAF D-6005/2011 del 21 dicembre 2011</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es auf dem Gebiet des Asyls in der Regel - wie vorliegend - endgültig (Art. 105 des Asylgesetzes vom 26. Juni 1998 [AsylG, SR 142.31] i.V.m. Art. 31 und 33 des Verwaltungsgerichtsgesetzes vom 17. Juni 2005 [VGG, SR 173.32]; Art. 83 Bst. d Ziff. 1 des Bundesgerichtsgesetzes vom 17. Juni 2005 [BGG, SR 173.110]).</w:t>
      </w:r>
    </w:p>
    <w:p>
      <w:r>
        <w:rPr>
          <w:b/>
        </w:rPr>
        <w:t>E. 1.2</w:t>
      </w:r>
    </w:p>
    <w:p>
      <w:r>
        <w:t>Das Verfahren richtet sich nach dem Bundesgesetz vom 20. Dezem­ber 1968 über das Verwaltungsverfahren (VwVG, SR 172.021), soweit das VGG und das AsylG nichts anderes bestimmen (Art. 37 VGG sowie Art. 6 und 105 AsylG).</w:t>
      </w:r>
    </w:p>
    <w:p>
      <w:r>
        <w:rPr>
          <w:b/>
        </w:rPr>
        <w:t>E. 1.3</w:t>
      </w:r>
    </w:p>
    <w:p>
      <w:r>
        <w:t>Die Beschwerde ist frist- und formgerecht eingereicht. Die Beschwer­deführer haben am Verfahren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vorliegende Beschwerde erweist sich - wie nachfolgend aufgezeigt - als offensichtlich unbegründet. Bei dieser Sachlage ist über die Beschwerde in einzelrichterlicher Zuständigkeit mit Zustimmung eines zweiten Richters beziehungsweise einer zweiten Richterin zu entscheiden (Art. 111 Bst. e AsylG). Gleichzeitig ist auf die Durchführung eines Schriftenwechsels zu verzichten und der Beschwerdeentscheid nur summarisch zu begründen (Art. 111a Abs. 1 und 2 AsylG). 2.1. Mit Beschwerde kann die Verletzung von Bundesrecht, die unrichtige oder unvollständige Feststellung des rechtserheblichen Sachverhalts und die Unangemessenheit gerügt werden (Art. 106 Abs. 1 AsylG), 2.2. 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w:t>
      </w:r>
    </w:p>
    <w:p>
      <w:r>
        <w:rPr>
          <w:b/>
        </w:rPr>
        <w:t>E. 3.1</w:t>
      </w:r>
    </w:p>
    <w:p>
      <w:r>
        <w:t>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3.2</w:t>
      </w:r>
    </w:p>
    <w:p>
      <w:r>
        <w:t>Vorliegend wurde auf eine Befragung durch die Botschaft in Khartum mangels entsprechender Kapazitäten der Botschaft verzichtet und den Beschwerdeführern - zwecks Wahrung des rechtlichen Gehörs - ein schriftlicher Fragenkatalog zugestellt. Vor dem Hintergrund der massgeblichen Praxis zur Behandlung von Asylgesuchen aus dem Ausland und Einreisebewilligung sowie unter Berücksichtigung der gesamten Aktenlage ist festzustellen, dass in vorliegender Sache auf eine Befragung der Beschwerdeführer verzichtet werden durfte und mit der Einladung zur Stellungnahme den massgeblichen verfahrensrechtlichen Anforderun­gen Genüge getan wurde (vgl. dazu BVGE 2007/30, insbes. E. 5.6 f.)</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Die Voraussetzungen zur Erteilung einer Einreisebewilligung sind nach ständiger Praxis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dazu die weiterhin zutreffende Praxis gemäss Entscheidungen und Mitteilungen der Schweizerischen Asylrekurskommission [EMARK] 1997 Nr. 15 E. 2 f., welche nach wie vor Gültig­keit hat). Ausschlaggebend für die Erteilung der Einreisebewilligung ist dabei die Schutzbedürftigkeit der betroffenen Personen (vgl. a.a.O., E. 2c), mithin die Prüfung der Frage, ob eine Gefährdung im Sinne von Art. 3 AsylG glaubhaft gemacht wird, und bejahendenfalls, ob es aufgrund der ganzen Umstände geboten erscheint, dass es die Schweiz ist, die den notwendigen Schutz gewährt, sowie, bei unvollständiger Sachverhaltserstellung, ob der Verbleib am Aufenthaltsort für die Dauer der Sachverhaltsabklärung zugemutet werden kann.</w:t>
      </w:r>
    </w:p>
    <w:p>
      <w:r>
        <w:rPr>
          <w:b/>
        </w:rPr>
        <w:t>E. 4.3.1</w:t>
      </w:r>
    </w:p>
    <w:p>
      <w:r>
        <w:t>In Übereinstimmung mit der Vorinstanz ist zunächst festzustellen, dass eine flüchtlingsrechtlich relevante Gefährdung der Beschwerdeführer im Falle einer Rückkehr nach Eritrea oder Äthiopien gegeben sein könnte.</w:t>
      </w:r>
    </w:p>
    <w:p>
      <w:r>
        <w:rPr>
          <w:b/>
        </w:rPr>
        <w:t>E. 4.3.2</w:t>
      </w:r>
    </w:p>
    <w:p>
      <w:r>
        <w:t>In entscheidrelevanter Hinsicht ist festzuhalten, dass sich die Beschwerdeführer gemäss ihren eigenen Aussagen seit dem Jahr L._______ ununterbrochen im Sudan aufhalten, vom UNHCR registriert worden sind und - wie bereits während ihres früheren Aufenthaltes im Sudan im Jahre J._______ - den Flüchtlingsstatus erhalten haben. Die Beschwerdeführer haben aktenkundig keinen Bezug zur Schweiz und es ist mit der Vorinstanz einig zu gehen, dass sie nicht auf eine subsidiäre Schutzgewährung durch die Schweiz angewiesen sind (vgl. dazu Art. 52 Abs. 2 AsylG). In dieser Hinsicht ist festzuhalten, dass bei einem Asylgesuch aus einem Drittstaat nach Lehre und Praxis die (widerlegbare) Regelvermutung besteht, die betreffende Person habe dort bereits anderweitig Schutz gefunden, was zur Ablehnung des Asylgesuchs und zur Verweigerung der Einreisebewilligung führt (vgl. dazu EMARK 2004 Nr. 21 E. 4, mit weiteren Hinweisen). In diesem Sinne weist das Bundesamt in der angefochtenen Verfügung zu Recht darauf hin, dass die Beschwerdeführer im Sudan bereits beim UNHCR registriert sind und den Flüchtlingsstatus erhalten haben, weshalb ihnen eine Rückkehr in das ihnen zugewiesene Flüchtlingslager zuzumuten ist.</w:t>
      </w:r>
    </w:p>
    <w:p>
      <w:r>
        <w:rPr>
          <w:b/>
        </w:rPr>
        <w:t>E. 4.3.3</w:t>
      </w:r>
    </w:p>
    <w:p>
      <w:r>
        <w:t>Die Beschwerdeführer machen im Rahmen ihrer Beschwerdeeingabe geltend, bei einer Rückkehr nach Eritrea oder nach Äthiopien würden sie verfolgt, gefoltert und inhaftiert. Demgegenüber ist festzuhalten, dass kein Anlass zur Annahme besteht, ihnen würde im Sudan eine Abschiebung nach Eritrea oder nach Äthiopien drohen. Die allgemein gehaltene Befürchtung in der Beschwerde vermag nicht zu überzeugen, auch wenn es tatsächlich erst kürzlich erneut zu einer Deportation von über 300 Eritreern aus dem Sudan nach Eritrea gekommen sein soll (vgl. dazu den UNHCR-Kurzbericht "UNHCR dismay at new deportation of Eritreans by Sudan" vom 18.10.2011). Solche Deportationen betreffen jedoch namentlich Personen, die sich illegal beziehungsweise die sich nicht in einem ihnen zugewiesenen Flüchtlingscamp im Sudan aufhalten, was in casu nicht zutrifft, da die Beschwerdeführer registriert sind und den Flüchtlingsstatus erhalten haben. Sollten sich die Beschwerdeführer also an ihrem derzeitigen Aufenthaltsort in I._______ nicht hinreichend sicher fühlen, so sind sie anzuhalten, sich wiederum in ein unter der Verwaltung des UNHCR stehendes Flüchtlingslager zu begeben. Insofern lassen auch ihre Vorbringen betreffend angeblich unzureichende Unterstützung durch das UNHCR in entscheidrelevanter Hinsicht keinen anderen Schluss zu, da davon auszugehen ist, in den unter der Verwaltung des UNHCR stehenden Flüchtlingslagern sei ihr Grundbedarf an Versorgung und Betreuung gedeckt und es ihnen ansonsten unbenommen bleibt, sich on die örtliche Vertretung des UNHCR zu wenden, um allfällige Mängel zu rapportieren.</w:t>
      </w:r>
    </w:p>
    <w:p>
      <w:r>
        <w:rPr>
          <w:b/>
        </w:rPr>
        <w:t>E. 5</w:t>
      </w:r>
    </w:p>
    <w:p>
      <w:r>
        <w:t>Zusammenfassend ergibt sich, dass das BFM zutreffend festgestellt hat, die Beschwerdeführer seien nicht schutzbedürftig im Sinne das Asylgesetzes. Unter diesen Umständen hat das BFM zu Recht die Erteilung der Einreisebewilligung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den Beschwerdeführern aufzuerlegen (Art. 63 Abs. 1 VwVG). Aus verwaltungsökonomischen Gründen ist vorliegend jedoch von einer Kostenauflage abzusehen (vgl. dazu Art. 6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