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D-6003/2015 vom 29. September 2015</w:t>
      </w:r>
    </w:p>
    <w:p>
      <w:r>
        <w:t>Bundesverwaltungsgericht, 2015-09-29, DE</w:t>
      </w:r>
    </w:p>
    <w:p>
      <w:r>
        <w:rPr>
          <w:b/>
        </w:rPr>
        <w:t xml:space="preserve">Quelle: </w:t>
      </w:r>
      <w:r>
        <w:t>https://mcp.opencaselaw.ch/entscheid/bvger_D-6003_2015</w:t>
      </w:r>
    </w:p>
    <w:p>
      <w:r>
        <w:t>FR: TAF D-6003/2015 du 29 septembre 2015</w:t>
      </w:r>
    </w:p>
    <w:p>
      <w:r>
        <w:t>IT: TAF D-6003/2015 del 29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Vorliegend, wie nachfolgend aufgezeigt wird, handelt es sich um eine solche offensichtlich begründete Beschwerde, weshalb der Beschwerdeentscheid nur summarisch zu begründen ist (Art. 111a Abs. 2 AsylG).</w:t>
      </w:r>
    </w:p>
    <w:p>
      <w:r>
        <w:rPr>
          <w:b/>
        </w:rPr>
        <w:t>E. 2.2</w:t>
      </w:r>
    </w:p>
    <w:p>
      <w:r>
        <w:t>Auf die Durchführung eines Schriftenwechsels wurde im vorliegenden Verfahren im Sinne von Art. 111a Abs. 1 AsylG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4.2</w:t>
      </w:r>
    </w:p>
    <w:p>
      <w:r>
        <w:t>Die italienischen Behörden liessen das Übernahmeersuchen innert der in Art. 25 Abs. 1 Dublin-III-VO vorgesehenen Frist unbeantwortet, womit sie die Zuständigkeit Italiens implizit anerkannten (Art. 25 Abs. 2 Dublin-III-VO).</w:t>
      </w:r>
    </w:p>
    <w:p>
      <w:r>
        <w:rPr>
          <w:b/>
        </w:rPr>
        <w:t>E. 4.3</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5.1</w:t>
      </w:r>
    </w:p>
    <w:p>
      <w:r>
        <w:t>Der in Art. 29 Abs. 2 BV garantierte und unter anderem in den Art. 26 bis 33 VwVG konkretisierte Grundsatz des Anspruchs auf rechtliches Gehör umfasst das Recht, mit den eigenen Begehren angehört zu werden, Einblick in die Akten zu erhalten und zu den für die Entscheidung wesentlichen Punkten Stellung nehmen zu können. Dieser Anspruch dient einerseits der Sachaufklärung und stellt andererseits ein persönlichkeitsbezogenes Mitwirkungsrecht der Parteien dar. Er beinhaltet unter anderem die Pflicht der Behörden, die Vorbringen des vom Entscheid in seiner Rechtsstellung Betroffenen sorgfältig und ernsthaft zu prüfen und in der Entscheidfindung zu berücksichtigen, was sich auch entsprechend in der Entscheidbegründung niederschlagen muss (Art. 32 Abs. 1 und Art. 35 Abs. 1 VwVG).</w:t>
      </w:r>
    </w:p>
    <w:p>
      <w:r>
        <w:rPr>
          <w:b/>
        </w:rPr>
        <w:t>E. 5.2</w:t>
      </w:r>
    </w:p>
    <w:p>
      <w:r>
        <w:t>Einleitend ist festzuhalten, dass der Grundsatz des Anspruchs auf rechtliches Gehör auch im Dublin-Verfahren - im Sinne des Verfahrens nach Art. 20 Abs. 1 Dublin-III-VO zur Bestimmung des zuständigen Staates, das gewissermassen als in sich geschlossenes (Teil-)Verfahren des gesamten Asylverfahren gesehen werden kann (vgl. Art. 2 Bst. d Dublin-III-VO) - gilt.</w:t>
      </w:r>
    </w:p>
    <w:p>
      <w:r>
        <w:rPr>
          <w:b/>
        </w:rPr>
        <w:t>E. 5.3</w:t>
      </w:r>
    </w:p>
    <w:p>
      <w:r>
        <w:t>Die Vorinstanz unterlässt es in der angefochtenen Verfügung gänzlich, auf die Partnerschaft des Beschwerdeführers einzugehen. So bleibt die geltend gemachte Beziehung zu seiner Lebenspartnerin, mit welcher er seit längerem zusammen sei und gemeinsam in die Schweiz geflohen sei (vgl. act. A6 Ziff. 1.14, 3.02, Ziff. 5.02 [S. 6]), unerwähnt. Dieses - für das Dublin-Verfahren als auch für ein allfälliges nationales Asylverfahren - zentrale Sachverhaltselement bleibt in der Sachverhaltszusammenfassung und auch in den rechtlichen Erwägungen der Verfügung komplett unerwähnt, weshalb davon auszugehen ist, dass dieses Vorbringen von der Vorinstanz nicht sorgfältig und ernsthaft geprüft und auch in der Entscheidfindung nicht berücksichtigt worden ist. Dies, obwohl der Beschwerdeführer die Partnerschaft explizit erwähnte und diesem Umstand aufgrund der gemäss Aktennotiz (act. A7) stark verkürzten Befragung zur Person besonderes Gewicht beigemessen werden kann. Selbst das SEM brachte auf dem Dossier des Beschwerdeführers einen Verweis (Freundin) auf dasjenige der Partnerin an. Dieses Sachverhaltselement wäre somit unter Art. 2 Bst. g i.V.m. Art. 11 Dublin-III-VO zu prüfen, wonach die Asylverfahren im selben Mitgliedstaat durchzuführen wären. Aus der angefochtenen Verfügung ist nicht ersichtlich, weshalb das Dublin-Verfahren der Lebenspartnerin mit Verfügung vom 3. Juli 2015 für beendet erklärt wurde, während auf das Verfahren des Beschwerdeführers nicht eingetreten und er nach Italien weggewiesen wurde. Da eine Auseinandersetzung mit den soeben skizzierten Fragen in der angefochtenen Verfügung gänzlich fehlt, verletzt diese nebst der Pflicht der Berücksichtigung und Prüfung der Parteivorbringen im Sinne von Art. 32 Abs. 1 VwVG auch die Begründungspflicht (Art. 35 Abs. 1 VwVG) und damit den verfassungsmässigen Anspruch des Beschwerde­führers auf rechtliches Gehör.</w:t>
      </w:r>
    </w:p>
    <w:p>
      <w:r>
        <w:rPr>
          <w:b/>
        </w:rPr>
        <w:t>E. 5.4</w:t>
      </w:r>
    </w:p>
    <w:p>
      <w:r>
        <w:t>Diese Gehörsverletzungen können auf Beschwerdeebene nicht geheilt werden, da das rechtliche Gehör einerseits bereits vor Stellung des Gesuchs an den Dublin-Staat, im Verfahren nach Art. 20 Abs. 1 Dublin-III-VO zur Bestimmung des zuständigen Mitgliedstaates, gewährt werden muss und so der Verfahrensschritt nicht nachgeholt werden kann. Andererseits fällt eine Heilung aufgrund der Schwere der Gehörsverletzungen wie auch des Umstandes, dass es sich um eine wiederholte Verletzung bei gleich gelagerten Fällen handelt (vgl. Urteil des Bundesverwaltungsgerichts D-5861/2015 vom 24. September 2015), ausser Betracht (vgl. BVGE 2012/24 E. 3.4).</w:t>
      </w:r>
    </w:p>
    <w:p>
      <w:r>
        <w:rPr>
          <w:b/>
        </w:rPr>
        <w:t>E. 6.1</w:t>
      </w:r>
    </w:p>
    <w:p>
      <w:r>
        <w:t>Die Beschwerde ist demnach gutzuheissen. Die angefochtene Verfügung ist aufzuheben und die Sache zur Gewährung des rechtlichen Gehörs, zur vollständigen Abklärung des Sachverhaltes und zur Neubeurteilung an das SEM zurückzuweisen.</w:t>
      </w:r>
    </w:p>
    <w:p>
      <w:r>
        <w:rPr>
          <w:b/>
        </w:rPr>
        <w:t>E. 6.2</w:t>
      </w:r>
    </w:p>
    <w:p>
      <w:r>
        <w:t>Das Beschwerdeverfahren ist mit vorliegendem Urteil abgeschlossen, weshalb sich der Antrag auf Gewährung der aufschiebenden Wirkung sowie das Gesuch um Verzicht auf die Erhebung eines Kostenvorschusses als gegenstandslos erweisen.</w:t>
      </w:r>
    </w:p>
    <w:p>
      <w:r>
        <w:rPr>
          <w:b/>
        </w:rPr>
        <w:t>E. 7</w:t>
      </w:r>
    </w:p>
    <w:p>
      <w:r>
        <w:t>Bei diesem Verfahrensausgang sind keine Kosten zu erheben (Art. 63 Abs. 1 und 2 VwVG). Der Antrag auf Gewährung der unentgeltlichen Prozessführung und Rechtsverbeiständung wird mit dem vorliegenden Urteil gegenstandslos.</w:t>
      </w:r>
    </w:p>
    <w:p>
      <w:r>
        <w:rPr>
          <w:b/>
        </w:rPr>
        <w:t>E. 8</w:t>
      </w:r>
    </w:p>
    <w:p>
      <w:r>
        <w:t>Der Beschwerdeführer ist im Verfahren vor dem Bundesverwaltungsgericht nicht vertreten, so dass angenommen werden kann, dass ihm keine entschädigungspflichtigen Kosten entstanden sind. Folglich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