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D-6001/2022 vom 30. Januar 2023</w:t>
      </w:r>
    </w:p>
    <w:p>
      <w:r>
        <w:t>Bundesverwaltungsgericht, 2023-01-30, DE</w:t>
      </w:r>
    </w:p>
    <w:p>
      <w:r>
        <w:rPr>
          <w:b/>
        </w:rPr>
        <w:t xml:space="preserve">Quelle: </w:t>
      </w:r>
      <w:r>
        <w:t>https://mcp.opencaselaw.ch/entscheid/bvger_D-6001_2022</w:t>
      </w:r>
    </w:p>
    <w:p>
      <w:r>
        <w:t>FR: TAF D-6001/2022 du 30 janvier 2023</w:t>
      </w:r>
    </w:p>
    <w:p>
      <w:r>
        <w:t>IT: TAF D-6001/2022 del 30 gennaio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bilden demgegenüber nicht Gegenstand des angefochtenen Nichteintretensentscheides und damit auch nicht des vorliegenden Verfahrens. Auf die in diesem Zusammenhang eingereichten Beweismittel (vgl. Prozessgeschichte, Bst. I.) ist deshalb nicht einzugehen.</w:t>
      </w:r>
    </w:p>
    <w:p>
      <w:r>
        <w:rPr>
          <w:b/>
        </w:rPr>
        <w:t>E. 3</w:t>
      </w:r>
    </w:p>
    <w:p>
      <w:r>
        <w:t>Die vorliegende Beschwerde erweist sich - wie nachfolgend aufgezeigt -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Auf Beschwerdeebene werden formelle Rügen (Verletzung des Anspruchs auf rechtliches Gehör sowie der Pflicht zur vollständigen und richtigen Abklärung des rechtserheblichen Sachverhalts) erhoben. Sie sind vorab zu beurteilen, da sie gegebenenfalls geeignet sind,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dagegen,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4.3</w:t>
      </w:r>
    </w:p>
    <w:p>
      <w:r>
        <w:t>Der Beschwerdeführer erblickt eine Verletzung des rechtlichen Gehörs sowie der Pflicht zur vollständigen und richtigen Abklärung des rechtserheblichen Sachverhalts darin, dass die Vorinstanz keine Einzelfallprüfung im Sinne des Referenzurteils des Bundesverwaltungsgerichts E-3078/2019 vom 12. Juli 2019 vorgenommen habe (vgl. Beschwerde Ziff. 2 und 3). Entgegen der Auffassung des Beschwerdeführers hat die Vorinstanz eine Einzelfallprüfung im Sinne des obgenannten Referenzurteils vorgenommen, indem sie die Erkenntnisse aus den Abklärungen der Schweizer Botschaft in Kroatien zu den Push-backs und zu Dublin-Rückkehrern sowie die im Dublin-Gespräch vom 1. Dezember 2022 erhobenen Einwände in zusammengefasster Form wiedergegeben und nachvollziehbar aufgezeigt hat, von welchen Überlegungen sie sich leiten liess (vgl. angefochtene Verfügung, Ziff. II). In diesem Zusammenhang ist festzuhalten, dass sich die verfügende Behörde nicht ausdrücklich mit jeder tatbestandlichen Behauptung und jedem rechtlichen Einwand auseinandersetzen muss, sondern sich auf die wesentlichen Gesichtspunkte beschränken darf (BGE 143 III 65 E. 5.2). Alleine der Umstand, dass die Vorinstanz nach Würdigung der Parteivorbringen zu einem anderen Schluss als der Beschwerdeführer kommt, stellt keine Verletzung des Anspruchs auf rechtliches Gehör respektive der Pflicht zur vollständigen und richtigen Abklärung des rechtserheblichen Sachverhalts dar, sondern beschlägt die Frage der materiellen Würdigung.</w:t>
      </w:r>
    </w:p>
    <w:p>
      <w:r>
        <w:rPr>
          <w:b/>
        </w:rPr>
        <w:t>E. 4.4</w:t>
      </w:r>
    </w:p>
    <w:p>
      <w:r>
        <w:t>Als weitere Verletzung der Pflicht zur vollständigen und richtigen Abklärung des rechtserheblichen Sachverhalts rügt der Beschwerdeführer, dass die Vorinstanz den medizinischen Sachverhalt nicht hinreichend abgeklärt habe. Aufgrund seiner psychischen Verfassung, der langen Warteliste für psychologische Termine sowie eines Wechsels in der Unterbringungssituation sei es ihm bislang nicht möglich gewesen, einen Arzttermin zu vereinbaren (vgl. Beschwerde Ziff. 1.c und 2). Die Aktenlage im Zeitpunkt des Verfassens der Verfügung stellte eine hinreichende Beurteilungsgrundlage dar. In Anbetracht der Dauer der Anwesenheit des Beschwerdeführers in der Schweiz, in welcher er Gelegenheit gehabt hätte, einen Arzt aufzusuchen, und seiner Mitwirkungspflicht gemäss Art. 8 AsylG, war die Vorinstanz nicht verpflichtet, weitere konkrete Sachverhaltsabklärungen zu treffen. Auch zum aktuellen Zeitpunkt geht das Gericht von einem erstellten Sachverhalt aus, zumal die Rüge, dass es ihm nicht ermöglicht worden sein soll, einen Facharzt zu konsultieren, angesichts der Aktenlage nicht nachvollziehbar ist. Alleine der Umstand, dass die Vorinstanz in ihrer Einschätzung zur gesundheitlichen Situation des Beschwerdeführers respektive gesundheitlichen Versorgung in Kroatien einer anderen Linie folgt, als vom Beschwerdeführer vertreten, spricht nicht für eine unrichtige oder unvollständige Sachverhaltsfeststellung.</w:t>
      </w:r>
    </w:p>
    <w:p>
      <w:r>
        <w:rPr>
          <w:b/>
        </w:rPr>
        <w:t>E. 4.5</w:t>
      </w:r>
    </w:p>
    <w:p>
      <w:r>
        <w:t>Aufgrund des Gesagten besteht keine Veranlassung, die angefochtene Verfügung aus formellen Gründen aufzuheben und die Sache an die Vorinstanz zurückzuweisen. Das diesbezügliche Rechtsbegehren ist abzuweisen.</w:t>
      </w:r>
    </w:p>
    <w:p>
      <w:r>
        <w:rPr>
          <w:b/>
        </w:rPr>
        <w:t>E. 5.1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w:t>
      </w:r>
    </w:p>
    <w:p>
      <w:r>
        <w:t>Vorliegend ist den Akten zu entnehmen, dass der Beschwerdeführer am 24. Oktober 2022 in Kroatien aufgegriffen wurde und gleichentags ein Asylgesuch gestellt hat (vgl. SEM-Akten [...]-5/1). Zwar behauptet der Beschwerdeführer, er habe in Kroatien nie ein Asylgesuch stellen wollen (vgl. Beschwerde Ziff. 1.a). Er bestreitet indessen nicht, dass er von der kroatischen Polizei aufgegriffen wurde, seine Fingerabdrücke abgegeben hat und in ein Camp für Flüchtlinge gebracht worden ist (vgl. [...]-13/3). Es ist nicht ersichtlich, weshalb er in Kroatien als asylsuchende Person erfasst worden sein sollte, wenn er keine entsprechende Äusserung getätigt hätte. Zudem stimmten die kroatischen Behörden dem Wiederaufnahmeersuchen der Vorinstanz am 15. Dezember 2022 gestützt auf Art. 20 Abs. 5 Dublin-III-VO zu und wiesen darauf hin, dass das Zuständigkeitsverfahren von ihnen fortgeführt werde. Damit sind sowohl die Antragsstellung in Kroatien als auch der Umstand, dass das kroatische Verfahren zur Bestimmung des für das Asylgesuch des Beschwerdeführers zuständigen Mitgliedstaates gemäss Art. 20 Abs. 5 Dublin-III-VO noch nicht abgeschlossen wurde und nach einer Rücküberstellung des Beschwerdeführers fortgesetzt wird, als erstellt zu betrachten (vgl. Urteil des BVGer F-5023/2022 vom 23. November 2022 E. 4.4 f. m.H.). An diesen Feststellungen vermag das Vorbringen des Beschwerdeführers, die kroatischen Behörden hätten ihn nicht in einer ihm verständlichen Sprache schriftlich über alle Aspekte des Asylverfahrens informiert (vgl. Beschwerde Ziff. 1.a), nichts zu ändern. Jenes dürfte im Übrigen auch damit zu tun haben, dass er sich eigenen Angaben zufolge am Tag der Einleitung des Asylverfahrens entschieden hat, das Camp für Flüchtlinge zu verlassen und weiterzureisen (vgl. [...]-13/3). Die grundsätzliche Zuständigkeit Kroatiens für die Durchführung des Asyl- und Wegweisungsverfahrens ist somit gegeben.</w:t>
      </w:r>
    </w:p>
    <w:p>
      <w:r>
        <w:rPr>
          <w:b/>
        </w:rPr>
        <w:t>E. 7</w:t>
      </w:r>
    </w:p>
    <w:p>
      <w:r>
        <w:t>In Bezug auf einen Zuständigkeitsübergang auf die Schweiz im Sinne von Art. 9 f. Dublin-III-VO (Schutz der Familieneinheit), auf den sich der Beschwerdeführer implizit beruft, indem er im vorinstanzlichen Verfahren geltend macht, sein Bruder und dessen Familie (vgl. SEM-Akten [...]-13/3) lebten in der Schweiz, vermag er (dies ist in Übereinstimmung mit der Vorinstanz festzustellen) nichts zu seinen Gunsten abzuleiten. Gemäss Art. 2 Bst. g Dublin-III-VO umfasst der Begriff "Familienangehörige" nur die Kernfamilie, das heisst Ehegatten, Lebenspartnerinnen und Lebenspartner sowie minderjährige Kinder. Geschwister, dessen Ehegatten und deren Kinder fallen nicht unter den vorgenannten Definitionsbereich. Dasselbe gilt für die erstmals auf Beschwerdeebene geltend gemachte Anwesenheit einer «guten» Freundin in der Schweiz (vgl. Beschwerde Ziff. 1.c). Soweit er in diesem Zusammenhang ferner vorbringt, in der Nähe seiner «guten» Freundin leben zu wollen, welche ihn mental unterstütze (vgl. a.a.O.), ist er darauf hinzuweisen, dass sich die Bestimmung von Art. 16 Abs. 1 Dublin-III-VO (besonderes Abhängigkeitsverhältnis) einzig auf nahe Verwandte - Kinder, Geschwister und Eltern - bezieht. Im Übrigen macht er auch auf Beschwerdeebene kein besonderes Abhängigkeitsverhältnis im Sinne von Art. 16 Abs. 1 Dublin-III-VO zwischen sich und seinem Bruder geltend und es lassen sich diesbezüglich auch keine konkreten Hinweise aus den Akten entnehmen.</w:t>
      </w:r>
    </w:p>
    <w:p>
      <w:r>
        <w:rPr>
          <w:b/>
        </w:rPr>
        <w:t>E. 8.1</w:t>
      </w:r>
    </w:p>
    <w:p>
      <w:r>
        <w:t>Der Beschwerdeführer macht systematische Mängel im Asyl- und Aufnahmesystem Kroatiens geltend (vgl. Beschwerde Ziff. 2). Im Lichte von Art. 3 Abs. 2 Dublin-III-VO ist deshalb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8.2</w:t>
      </w:r>
    </w:p>
    <w:p>
      <w:r>
        <w:t>Wie die Vorinstanz zutreffend ausgeführt hat, ist Kroatien Signatarstaat der EMRK, des Übereinkommens vom 10. Dezember 1984 gegen Folter und andere grausame, unmenschliche oder erniedrigende Behandlung oder Strafe (FoK, SR 0.105) und des Abkommens über die Rechtsstellung der Flüchtlinge (FK, SR 0.142.30), des Zusatzprotokolls der FK vom 31. Januar 1967 (SR 0.142.301) sowie des Internationalen Übereinkommens zur Beseitigung jeglicher Form von Rassendiskriminierung vom 21. Dezember 1965 (SR 0.104) und es ist grundsätzlich davon auszugehen, dass es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Sodann hat die Vorinstanz im Sinne der Rechtsprechung des Bundesverwaltungsgerichts zutreffend dargelegt, dass aktuell im Bereich der Wiederaufnahmeverfahren keine Gründe für die Annahme vorliegen, das Asylverfahren (inklusive Zuständigkeitsverfahren) und die Aufnahmebedingungen für Antragstellende in Kroatien würden systemische Schwachstellen im Sinne von Art. 3 Abs. 2 Sätze 2 und 3 Dublin-III-VO aufweisen (vgl. bspw. Urteile des BVGer E-5427/2022 vom 1. Dezember 2022 E. 5.2; D-4865/2022 vom 2. November 2022 E. 5.4; F-3957/2022 vom 11. Oktober 2022 E. 5; F-4002/2022 vom 26. September 2022 E. 7.2; F-3903/2022 vom 16. September 2022 E. 4; F-3448/2022 vom 22. August 2022 E. 6.2).</w:t>
      </w:r>
    </w:p>
    <w:p>
      <w:r>
        <w:rPr>
          <w:b/>
        </w:rPr>
        <w:t>E. 8.3</w:t>
      </w:r>
    </w:p>
    <w:p>
      <w:r>
        <w:t>Weiter ist die Vorinstanz unter Verweis auf Abklärungen durch die Schweizer Botschaft in Kroatien zu Recht zum Schluss gekommen, dass Personen, welche im Rahmen eines Dublin-Verfahrens nach Kroatien zurückgeführt werden, nicht von der problematischen "Push-back"-Praxis betroffen sind (vgl. bspw. Urteil des BVGer E-5787/2022 vom 19. Dezember 2022 E. 7.4 m.w.H.).</w:t>
      </w:r>
    </w:p>
    <w:p>
      <w:r>
        <w:rPr>
          <w:b/>
        </w:rPr>
        <w:t>E. 8.4</w:t>
      </w:r>
    </w:p>
    <w:p>
      <w:r>
        <w:t>Für eine Änderung der Rechtsprechung besteht auch in Würdigung der vom Beschwerdeführer gemachten Äusserungen zu seiner Behandlung in Kroatien, der zitierten Berichte und des Verweises auf die Rechtsprechung deutscher Gerichte (vgl. Beschwerde Ziff. 2 und 3) keine Veranlassung. Unter diesen Umständen ist die Anwendung von Art. 3 Abs. 2 Dublin-III-VO nicht gerechtfertigt.</w:t>
      </w:r>
    </w:p>
    <w:p>
      <w:r>
        <w:rPr>
          <w:b/>
        </w:rPr>
        <w:t>E. 9.1</w:t>
      </w:r>
    </w:p>
    <w:p>
      <w:r>
        <w:t>Weiter ist der Frage nachzugehen, ob - wie vom Beschwerdeführer geltend gemacht (vgl. Beschwerde Ziff. 1 und 2) - völkerrechtliche Vollzugshindernisse nach Art. 3 EMRK bestehen, woraus sich zwingende Gründe für einen Selbsteintritt nach Art. 17 Abs. 1 Dublin-III-VO ergeben würden.</w:t>
      </w:r>
    </w:p>
    <w:p>
      <w:r>
        <w:rPr>
          <w:b/>
        </w:rPr>
        <w:t>E. 9.2</w:t>
      </w:r>
    </w:p>
    <w:p>
      <w:r>
        <w:t>In Übereinstimmung mit der Vorinstanz ist festzuhalten, dass der Beschwerdeführer kein konkretes und ernsthaftes Risiko dargetan hat, die kroatischen Behörden würden sich weigern, ihn wiederaufzunehmen und seinen Antrag auf internationalen Schutz unter Einhaltung der Regeln der Verfahrensrichtlinie zu prüfen. Entgegen der Ansicht des Beschwerdeführers (vgl. SEM-Akten [...]-13/3, Beschwerde Ziff. 1.b) sind den Akten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Der Beschwerdeführer hat auch keine konkreten Hinweise für die Annahme dargetan, Kroatien würde ihm dauerhaft die im gemäss Aufnahmerichtlinie zustehenden minimalen Lebensbedingungen vorenthalten. Bei einer allfälligen vor-übergehenden Einschränkung wäre er im Übrigen nötigenfalls gehalten, sich an die dortigen Behörden zu wenden und die ihm zustehenden Aufnahmebedingungen auf dem Rechtsweg einzufordern (vgl. Art. 26 Aufnahmerichtlinie). Dies gilt auch in Bezug auf die geltend gemachte Gewalt seitens der kroatischen Behörden.</w:t>
      </w:r>
    </w:p>
    <w:p>
      <w:r>
        <w:rPr>
          <w:b/>
        </w:rPr>
        <w:t>E. 9.3</w:t>
      </w:r>
    </w:p>
    <w:p>
      <w:r>
        <w:t>Der Vorinstanz ist ferner zuzustimmen, dass sich die im vorinstanzlichen Verfahren geltend gemachten psychischen Probleme des Beschwerdeführers (vgl. Prozessgeschichte, Bst. D.), welche auch auf Beschwerdeebene nicht näher substantiiert oder belegt werden, offensichtlich nicht als so schwerwiegend darstellen,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m.w.H.). Dasselbe hat für die erstmals auf Beschwerdeebene geltend gemachten (...) zu gelten (vgl. Beschwerde, Ziff. 1.c). Im Übrigen ist darauf hinzuweisen, dass Kroatien grundsätzlich über eine ausreichende medizinische Infrastruktur verfügt (vgl. Urteil des BVGer D-735/2022 vom 28. Februar 2022 E. 6.7.3) und als Mitgliedstaat verpflichtet ist, dem Beschwerdeführer bei Bedarf die notwendige medizinische Behandlung zu gewähren (Art. 19 Abs. 1 und 2 Aufnahmerichtlinie). Entgegen der auf Beschwerdeebene vertretenen Ansicht liegen keine Hinweise vor, wonach Kroatien dem Beschwerdeführer eine adäquate medizinische Behandlung verweigert hätte oder verweigern würde. Etwas anderes ergibt sich auch nicht aus dem in der Beschwerde zitierten Bericht (vgl. Beschwerde Ziff. 1.c), zumal nicht bestritten wird, dass der Zugang zu einer angemessenen Behandlung in Kroatien unter Umständen erschwert sein kann.</w:t>
      </w:r>
    </w:p>
    <w:p>
      <w:r>
        <w:rPr>
          <w:b/>
        </w:rPr>
        <w:t>E. 9.4</w:t>
      </w:r>
    </w:p>
    <w:p>
      <w:r>
        <w:t>Nach dem Gesagten ist die Überstellung nach Kroatien unter Beachtung der massgeblichen völkerrechtlichen Bestimmungen als zulässig zu erkennen, womit keine zwingenden Gründe für einen Selbsteintritt auf das Asylgesuch des Beschwerdeführers nach Art. 17 Abs. 1 Dublin-III-VO ersichtlich sind.</w:t>
      </w:r>
    </w:p>
    <w:p>
      <w:r>
        <w:rPr>
          <w:b/>
        </w:rPr>
        <w:t>E. 10</w:t>
      </w:r>
    </w:p>
    <w:p>
      <w:r>
        <w:t>Der Beschwerdeführer fordert schliesslich die Anwendung der Ermessensklausel von Art. 17 Abs. 1 Dublin-III-VO (vgl. Beschwerde Ziff. 2),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11</w:t>
      </w:r>
    </w:p>
    <w:p>
      <w:r>
        <w:t>Die Vorinstanz ist somit zu Recht von der Zuständigkeit Kroatiens ausgegangen und in Anwendung von Art. 31a Abs. 1 Bst. b AsylG auf das Asylgesuch des Beschwerdeführers zu Recht nicht eingetreten. Da der Beschwerdeführer nicht im Besitz einer gültigen Aufenthalts- oder Niederlassungsbewilligung ist, wurde die Überstellung nach Kroatien in Anwendung von Art. 44 AsylG ebenfalls zu Recht angeordnet (Art. 32 Bst. a AsylV 1).</w:t>
      </w:r>
    </w:p>
    <w:p>
      <w:r>
        <w:rPr>
          <w:b/>
        </w:rPr>
        <w:t>E. 12</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13</w:t>
      </w:r>
    </w:p>
    <w:p>
      <w:r>
        <w:t>Nach vorstehenden Erwägungen ist die Beschwerde abzuweisen. Der am 28. Dezember 2022 angeordnete Vollzugsstopp fällt mit dem vorliegenden Urteil dahin. Das Gesuch um Erteilung der aufschiebenden Wirkung ist gegenstandslos geworden.</w:t>
      </w:r>
    </w:p>
    <w:p>
      <w:r>
        <w:rPr>
          <w:b/>
        </w:rPr>
        <w:t>E. 14.1</w:t>
      </w:r>
    </w:p>
    <w:p>
      <w:r>
        <w:t>Der Beschwerdeführer beantragt die Gewährung der unentgeltlichen Prozessführung (Art. 65 Abs. 1 VwVG). Aufgrund der vorstehenden Erwägungen ergibt sich, dass seine Begehren als aussichtslos zu gelten haben. Damit ist eine der kumulativ zu erfüllenden Voraussetzungen nicht gegeben, weshalb das Gesuch ungeachtet der geltend gemachten Mittellosigkeit abzuweisen ist.</w:t>
      </w:r>
    </w:p>
    <w:p>
      <w:r>
        <w:rPr>
          <w:b/>
        </w:rPr>
        <w:t>E. 14.2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