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D-5/2011 vom 13. April 2011</w:t>
      </w:r>
    </w:p>
    <w:p>
      <w:r>
        <w:t>Bundesverwaltungsgericht, 2011-04-13, DE</w:t>
      </w:r>
    </w:p>
    <w:p>
      <w:r>
        <w:rPr>
          <w:b/>
        </w:rPr>
        <w:t xml:space="preserve">Quelle: </w:t>
      </w:r>
      <w:r>
        <w:t>https://mcp.opencaselaw.ch/entscheid/bvger_D-5_2011</w:t>
      </w:r>
    </w:p>
    <w:p>
      <w:r>
        <w:t>FR: TAF D-5/2011 du 13 avril 2011</w:t>
      </w:r>
    </w:p>
    <w:p>
      <w:r>
        <w:t>IT: TAF D-5/2011 del 13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Bundesverwaltungsgericht teilt die Auffassung des BFM, wonach die Vorbringen der Beschwerdeführenden den Anforderungen an die Glaubhaftigkeit gemäss Art. 7 AsylG nicht genügen. Die zutreffenden Erwägungen in der angefochtenen Verfügung können die anderslautenden Ausführungen in der Beschwerdeschrift nicht umstossen, da die Beschwerdeführenden einerseits ihren eigenen Aussagen zufolge mit ihren Reisepässen legal über den Flughafen von F._______ ausgereist sind (vgl. A1/14 S. 9 f.; A2/14 S. 9), und erfahrungsgemäss tatsächlich verfolgte Personen jeglichen Kontakt mit den heimatlichen Behörden meiden. Andererseits hat der Beschwerdeführer im Rahmen des erstinstanzlichen Verfahrens nicht geltend gemacht, sich bei den Polizeibehörden vergeblich um Schutz vor Behelligungen durch die unbekannten Schläger bemüht zu haben. Vielmehr gab er ausdrücklich zu Protokoll, er habe keine Anzeige erstattet, da ein solcher Fall aussichtslos sei, wenn man die Täter nicht kenne (vgl. A1/14 S. 9). Zur Vermeidung von Wiederholungen wird somit an dieser Stelle auf die zutreffenden Ausführungen in der angefochtenen Verfügung vom 30. November 2010, sowie diejenigen in der Zwischenverfügung vom 7. Januar 2011 verwiesen, denen sich das Bundesverwaltungsgericht vollumfänglich anschliesst.</w:t>
      </w:r>
    </w:p>
    <w:p>
      <w:r>
        <w:rPr>
          <w:b/>
        </w:rPr>
        <w:t>E. 5.2</w:t>
      </w:r>
    </w:p>
    <w:p>
      <w:r>
        <w:t>Hinsichtlich des Rechtsbegehrens betreffend allenfalls im hängigen Verfahren bereits erfolgtem oder zukünftig vorgesehenem Datentransfer an die mongolischen Behörden ist an dieser Stelle festzuhalten, dass den Akten keine Hinweise auf einen solchen zu entnehmen sind. Im Übrigen hat sich das BFM auch ohne spezifische Anweisung durch das Bundesverwaltungsgericht an die Bestimmung von Art. 97 Abs. 1 AsylG zu halten, wonach Personendaten von Asylsuchenden, anerkannten Flüchtlingen und Schutzbedürftigen dem Heimat- oder Herkunftsstaat nicht bekanntgegeben werden dürfen, wenn die betroffene Person oder ihre Angehörigen dadurch gefährdet würden. In Anbetracht der - wie vorstehend aufgezeigt wird - haltlosen Verfolgungsvorbringen würde ein Kontakt der schweizerischen Asylbehörden mit den mongolischen Behörden für die Beschwerdeführenden ohnehin keinen relevanten Nachteil darstellen, weshalb schon aus diesen Gründen keine objektiven Nachfluchtgründe vorliegen können. Die in diesem Zusammenhang gestellten Anträge sind abzuweisen, sofern sie nicht dem vorliegenden Entscheid in der Hauptsache gegenstandslos geworden sind.</w:t>
      </w:r>
    </w:p>
    <w:p>
      <w:r>
        <w:rPr>
          <w:b/>
        </w:rPr>
        <w:t>E. 5.3</w:t>
      </w:r>
    </w:p>
    <w:p>
      <w:r>
        <w:t>Bei dieser Sachlage erübrigt es sich, auf die weiteren Ausführungen in der Beschwerde im Einzeln einzugehen, da diese nicht geeignet sind, zu einer anderen rechtlichen Würdigung der Aktenlage zu führen. Unter diesen Umständen ist somit festzuhalten, dass die Beschwerdeführenden einen flüchtlingsrechtlich bedeutsamen Sachverhalt weder nachgewiesen noch glaubhaft gemacht haben. Die Feststellung des BFM, die Beschwerdeführenden erfüllen die Flüchtlingseigenschaft nicht, ist dementsprechend zu bestätigen. Das BFM hat die Asylgesuche zu Recht und mit zutreffender Begründung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die Mongolei ist demnach unter dem Aspekt von Art. 5 AsylG rechtmässig. Sodann ergeben sich weder aus den Aussagen der Beschwerdeführenden noch aus den Akten Anhaltspunkte dafür, dass sie für den Fall einer Ausschaffung in die Mongolei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der Mongolei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Mit Blick auf die allgemeine Lage, die Menschenrechtssituation sowie die allgemeinen Lebensumstände in der Mongolei, die mit Beschluss des Bundesrates vom 28. Juni 2000 zu einem sogenannten "safe country" (verfolgungssicheren Staat) erklärt wurde, ist der Rückschaffung der Beschwerdeführenden als zumutbar zu erachten. In der Mongolei herrscht weder Krieg noch Bürgerkrieg noch eine Situation allgemeiner Gewalt. Hinsichtlich der Prüfung individueller Wegweisungshindernisse ist Folgendes festzuhalten: Die Beschwerdeführenden stammen gemäss ihren Angaben aus F._______, wo sie Zeit ihres Lebens wohnhaft waren und wo auch ihre nächsten Verwandten (der inzwischen verstorbene Vater des Beschwerdeführers sowie seine Schwester und deren Kind, die gemeinsam mit ihnen in die Schweiz eingereist sind) gelebt haben. Drei verheiratete Schwestern der Beschwerdeführerin leben noch immer mit ihren Familien in der Provinz G._______ (vgl A2/ 14 S. 3). Die Beschwerdeführenden verfügen somit in ihrer Heimat über ein familiäres Beziehungsnetz, das als tragfähig zu erachten ist. Zudem haben beide Beschwerdeführer eine überdurchschnittliche gute Ausbildung absolviert und waren vor ihrer Ausreise berufstätig: Der Beschwerdeführer hat als Untersuchungsbeamter beim Staatsuntersuchungsamt bis zum 20. August 2009 gearbeitet. Danach war er kontrollierender Mechaniker bei der Polizeigarage von F._______. Die Beschwerdeführerin ist Buchhalterin mit Diplomabschluss und hat zuletzt in dieser Funktion sowie als Sozialarbeiterin mit Hausbesuch im Hospiz H._______, einer Non-Governmental Organization in F._______ gearbeitet. Wirtschaftlich waren die Beschwerdeführenden im Heimatstaat gut gestellt, war es ihnen doch möglich, den für die Reise der vierköpfigen Familie erforderlichen Betrag von 15'000 Euro aufzubringen. Bei ihrer Rückkehr wird es ihnen möglich sein, wieder eine Arbeit zu finden, weshalb es ihnen zugemutet werden kann, sich um eine solche zu bemühen, um die Existenz der Familie erneut sichern zu können. Zudem kann damit gerechnet werden, dass sie in der ersten Zeit nach ihrer Rückkehr bei Bedarf von den Familienangehörigen unterstützt werden. Nach dem Gesagten erweist sich der Vollzug der Wegweisung auch als zumutbar.</w:t>
      </w:r>
    </w:p>
    <w:p>
      <w:r>
        <w:rPr>
          <w:b/>
        </w:rPr>
        <w:t>E. 7.6</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7.7</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den Beschwerdeführenden aufzuerlegen (Art. 63 Abs. 1 VwVG), auf insgesamt Fr. 600.-- festzusetzen (Art. 1 - 3 des Reglements vom 21. Februar 2008 über die Kosten und Entschädigungen vor dem Bundesverwaltungsgericht [VGKE, SR 173.320.2]) und mit dem am 24. Januar 2011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