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D-5997/2022 vom 10. Januar 2023</w:t>
      </w:r>
    </w:p>
    <w:p>
      <w:r>
        <w:t>Bundesverwaltungsgericht, 2023-01-10, FR</w:t>
      </w:r>
    </w:p>
    <w:p>
      <w:r>
        <w:rPr>
          <w:b/>
        </w:rPr>
        <w:t xml:space="preserve">Quelle: </w:t>
      </w:r>
      <w:r>
        <w:t>https://mcp.opencaselaw.ch/entscheid/bvger_D-5997_2022</w:t>
      </w:r>
    </w:p>
    <w:p>
      <w:r>
        <w:t>FR: TAF D-5997/2022 du 10 janvier 2023</w:t>
      </w:r>
    </w:p>
    <w:p>
      <w:r>
        <w:t>IT: TAF D-5997/2022 del 10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 art. 83 let. d ch. 1 LTF), exception non réalisée en l'espèce.</w:t>
      </w:r>
    </w:p>
    <w:p>
      <w:r>
        <w:rPr>
          <w:b/>
        </w:rPr>
        <w:t>E. 1.2</w:t>
      </w:r>
    </w:p>
    <w:p>
      <w:r>
        <w:t>L'intéressé a qualité pour recourir (art. 48 al. 1 PA). Présenté dans la forme (art. 52 al. 1 PA) et le délai (art. 108 al. 3 LAsi) prescrits par la loi, le recours est recevable.</w:t>
      </w:r>
    </w:p>
    <w:p>
      <w:r>
        <w:rPr>
          <w:b/>
        </w:rPr>
        <w:t>E. 1.3</w:t>
      </w:r>
    </w:p>
    <w:p>
      <w:r>
        <w:t>Saisi d'un recours contre une décision de non-entrée en matière sur une demande d'asile, le Tribunal se limite à examiner le bien-fondé d'une telle décision (cf. ATAF 2017 VI/5 consid. 3.1).</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Dans une procédure de reprise en charge (anglais : take back), comme en l'espèce, il n'y a, en principe, aucun nouvel examen de la compétence selon le chapitre III RD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2.5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2.6</w:t>
      </w:r>
    </w:p>
    <w:p>
      <w:r>
        <w:t>En vertu de l'art. 8 par. 4 RD III - applicable dans le cadre d'une procédure de reprise en charge, par renvoi de l'art. 7 par. 3 RD III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2.7</w:t>
      </w:r>
    </w:p>
    <w:p>
      <w:r>
        <w:t>Dès lors que la détermination de l'âge du requérant d'asile influe sur les règles de compétence du règlement Dublin III (cf. également arrêts du Tribunal E-2079/2021 du 28 mai 2021 consid. 3.2 ; F-72/2021 du 2 février 2021 consid. 3.4.2 ; F-742/2020 du 17 février 2020 consid. 3.3), les autorités doivent, en présence d'un prétendu mineur non accompagné,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2.8</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3.2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 médicales visant à déterminer son âge (sur ce dernier point, art. 17 al. 3bis LAsi ; cf. Jurisprudence et informations de la Commission suisse de recours en matière d'asile [JICRA] 2004/30 consid. 6, jurisprudence reprise notamment par l'arrêt du Tribunal E-1928/2014 précité et, très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3.3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3.4</w:t>
      </w:r>
    </w:p>
    <w:p>
      <w:r>
        <w:t>En l'espèce, le Tribunal retient, à l'instar du SEM, que le recourant n'a pas déposé de document d'identité susceptible, à lui seul, de prouver sa minorité (art. 1a let. c OA 1). A cet égard, la photographie de la « tazkira » délivrée en 1391 (cf. le procès-verbal de l'audition du 10 novembre 2022, ch. 4.03), c'est-à-dire en 2012-2013 selon le calendrier grégorien, alors que le recourant aurait été âgé de (...) ans, ne revêt qu'une faible force probante et ne suffit pas, à elle-seule, à prouver la minorité alléguée (cf. arrêt du Tribunal F-3518/2022 du 24 août 2022 consid. 3.3 et les réf. citées). Elle ne constitue ainsi qu'un simple indice. Il est donc nécessaire de déterminer s'il existe d'autres éléments au dossier parlant en faveur de la minorité alléguée du recourant.</w:t>
      </w:r>
    </w:p>
    <w:p>
      <w:r>
        <w:rPr>
          <w:b/>
        </w:rPr>
        <w:t>E. 3.5</w:t>
      </w:r>
    </w:p>
    <w:p>
      <w:r>
        <w:t>L'analyse médico-légale du 30 novembre 2022 (cf. let. F.b supra)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2006. Elle aboutit à la conclusion, en se basant sur l'estimation de l'âge dentaire, que la probabilité que le recourant ait atteint et dépassé sa 18ème année est à plus de 90,1% selon Mincer et coll. (1993) et à plus de 96,3% selon Gunst et Mesotten (2003). En partant d'un âge moyen de 20,2 ans pour la dent n° 18 selon MINCER et coll. et en tenant compte de la marge d'erreur possible de +/- 2,09 ans, on obtient un âge minimum de 18,11 ans, respectivement un âge maximum de 26,4 ans pour la dent n° 38 selon Kahl et Schwarze.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selon Kellinghaus et al. (2010), elle démontre un âge osseux correspondant à un stade 4 ; l'âge moyen d'un homme présentant ce stade est selon Wittschieber et al. (2014) de 29,7 ans, avec une déviation standard de 5,1 ans ; l'âge minimum pour ce stade est de 21,6 ans ; selon les deux méthodes d'estimation d'âge osseux appliquées, l'âge minimum de 19,14 ans a été retenu.</w:t>
      </w:r>
    </w:p>
    <w:p>
      <w:r>
        <w:rPr>
          <w:b/>
        </w:rPr>
        <w:t>E. 3.6</w:t>
      </w:r>
    </w:p>
    <w:p>
      <w:r>
        <w:t>Dans ces conditions, comme le SEM l'a relevé dans sa décision dont est recours, les conclusions du rapport d'expertise médico-légale constituent un indice fort de la majorité du recourant (cf. ATAF 2018 VI/3 consid. 4.2.2 ; cf. arrêt du Tribunal E-4873/2022 du 7 novembre 2022, spéc. consid. 5.5.2 et 5.5.3). La date de naissance alléguée, qui supposait qu'il soit âgé de (...) ans et (...) mois au moment de dite expertise, peut dès lors être exclue.</w:t>
      </w:r>
    </w:p>
    <w:p>
      <w:r>
        <w:rPr>
          <w:b/>
        </w:rPr>
        <w:t>E. 3.7</w:t>
      </w:r>
    </w:p>
    <w:p>
      <w:r>
        <w:t>D'autres indices plaident également en défaveur de la minorité alléguée. En effet, le recourant a été enregistré en Autriche sous l'identité de B._______, né le (...) 2003. De surcroît, comme le SEM l'a à juste titre mentionné, la photo d'identité apposée sur la photographie de la « tazkira » présente un jeune homme manifestement âgé de plus de (...) ans au moment où ce document aurait été établi.</w:t>
      </w:r>
    </w:p>
    <w:p>
      <w:r>
        <w:rPr>
          <w:b/>
        </w:rPr>
        <w:t>E. 3.8</w:t>
      </w:r>
    </w:p>
    <w:p>
      <w:r>
        <w:t>Il ressort des considérations qui précèdent que les éléments plaidant en défaveur de la date de naissance et, partant, de la minorité alléguée par le recourant l'emportent clairement sur les seules affirmations de ce dernier, compte tenu du caractère probant très important des analyses susmentionnées.</w:t>
      </w:r>
    </w:p>
    <w:p>
      <w:r>
        <w:rPr>
          <w:b/>
        </w:rPr>
        <w:t>E. 3.9</w:t>
      </w:r>
    </w:p>
    <w:p>
      <w:r>
        <w:t>Il s'ensuit que le SEM était fondé de considérer que l'intéressé était majeur au moment où il a statué. Celui-ci n'ayant pas établi sa minorité et sa majorité étant hautement vraisemblable, il ne peut se prévaloir des dispositions de fond ou de procédure particulières édictées en faveur des requérants d'asile mineurs non accompagnés.</w:t>
      </w:r>
    </w:p>
    <w:p>
      <w:r>
        <w:rPr>
          <w:b/>
        </w:rPr>
        <w:t>E. 4.1</w:t>
      </w:r>
    </w:p>
    <w:p>
      <w:r>
        <w:t>Cela étant, comme exposé précédemment, les investigations entreprises par le SEM ont révélé, après consultation de la base de données « Eurodac », que le recourant a déposé une demande d'asile en Autriche, le 29 août 2022.</w:t>
      </w:r>
    </w:p>
    <w:p>
      <w:r>
        <w:rPr>
          <w:b/>
        </w:rPr>
        <w:t>E. 4.2</w:t>
      </w:r>
    </w:p>
    <w:p>
      <w:r>
        <w:t>Le 9 novembre 2022, le SEM a dès lors soumis aux autorités autrichiennes, dans le délai fixé à l'art. 23 par. 2 du règlement Dublin III, une requête aux fins de reprise en charge, fondée sur l'art. 18 par. 1 let. b de ce règlement.</w:t>
      </w:r>
    </w:p>
    <w:p>
      <w:r>
        <w:rPr>
          <w:b/>
        </w:rPr>
        <w:t>E. 4.3</w:t>
      </w:r>
    </w:p>
    <w:p>
      <w:r>
        <w:t>Le 14 décembre 2022, à l'issue d'une procédure de réexamen (« rémonstration »), lesdites autorités ont expressément accepté de reprendre en charge le recourant sur la base de la même disposition légale, reconnaissant ainsi leur compétence pour traiter la demande d'asile de l'intéressé.</w:t>
      </w:r>
    </w:p>
    <w:p>
      <w:r>
        <w:rPr>
          <w:b/>
        </w:rPr>
        <w:t>E. 4.4</w:t>
      </w:r>
    </w:p>
    <w:p>
      <w:r>
        <w:t>En conséquence, la responsabilité de l'Autriche pour le traitement de la demande d'asile du recourant est acquise, même à admettre comme le prétend le recourant que ses empreintes digitales lui auraient été prises de force.</w:t>
      </w:r>
    </w:p>
    <w:p>
      <w:r>
        <w:rPr>
          <w:b/>
        </w:rPr>
        <w:t>E. 4.5</w:t>
      </w:r>
    </w:p>
    <w:p>
      <w:r>
        <w:t>Au vu de l'art. 3 par. 2 du règlement Dublin III, il y a lieu d'examiner s'il y a de sérieuses raisons de croire qu'il existe, en Autriche, des défaillances systémiques dans la procédure d'asile et les conditions d'accueil des demandeurs, qui entraînent un risque de traitement inhumain ou dégradant au sens de l'art. 4 de la CharteUE.</w:t>
      </w:r>
    </w:p>
    <w:p>
      <w:r>
        <w:rPr>
          <w:b/>
        </w:rPr>
        <w:t>E. 4.6</w:t>
      </w:r>
    </w:p>
    <w:p>
      <w:r>
        <w:t>L'Autriche est liée à ladite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no 2013/32/UE du Parlement européen et du Conseil du 26 juin 2013 relative à des procédures communes pour l'octroi et le retrait de la protection internationale (ci-après : directive Procédure) comme de la directive no 2013/33/UE du Parlement européen et du Conseil du 26 juin 2013 établissant des normes pour l'accueil des personnes demandant la protection internationale (ci-après : directive Accueil).</w:t>
      </w:r>
    </w:p>
    <w:p>
      <w:r>
        <w:rPr>
          <w:b/>
        </w:rPr>
        <w:t>E. 4.7</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dans un tel cas, l'Etat requérant doit renoncer au transfert (cf. ATAF 2011/35 consid. 4.11 ; 2010/45 consid. 7.4.2).</w:t>
      </w:r>
    </w:p>
    <w:p>
      <w:r>
        <w:rPr>
          <w:b/>
        </w:rPr>
        <w:t>E. 4.8</w:t>
      </w:r>
    </w:p>
    <w:p>
      <w:r>
        <w:t>Cela n'est manifestement pas le cas en Autriche. Dans ces conditions, l'application de l'art. 3 par. 2 RD III ne se justifie pas en l'espèce, ce que le recourant n'a du reste pas soutenu.</w:t>
      </w:r>
    </w:p>
    <w:p>
      <w:r>
        <w:rPr>
          <w:b/>
        </w:rPr>
        <w:t>E. 5.1</w:t>
      </w:r>
    </w:p>
    <w:p>
      <w:r>
        <w:t>Pour s'opposer à son transfert, l'intéressé a indiqué avoir été forcé, après son interpellation par les autorités autrichiennes, à déposer ses empreintes digitales, puis avoir été emmené dans un centre fermé, d'où il lui avait été interdit de sortir. Durant son interpellation, il a soutenu n'avoir pas reçu de nourriture, les policiers lui ayant par ailleurs confisqué son téléphone portable et les 25 euros en sa possession. En outre, il a précisé que, n'ayant pas eu les moyens de venir légalement en Suisse, il avait été obligé de traverser différents pays, dont l'Autriche, pour rejoindre un cousin maternel, au bénéfice d'une admission provisoire en Suisse. Dans ce contexte, il a sollicité l'application de la clause discrétionnaire prévue à l'art. 17 par. 1 RD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8.2.1 ; 2012/4 consid. 2.4).</w:t>
      </w:r>
    </w:p>
    <w:p>
      <w:r>
        <w:rPr>
          <w:b/>
        </w:rPr>
        <w:t>E. 5.3</w:t>
      </w:r>
    </w:p>
    <w:p>
      <w:r>
        <w:t>En l'espèce, l'intéressé n'a pas démontré l'existence d'un risque concret et avéré que les autorités autrichiennes refuseraient de le reprendre en charge et de mener à terme l'examen de sa demande de protection, en violation de la directive Procédure. A cet égard,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5.4</w:t>
      </w:r>
    </w:p>
    <w:p>
      <w:r>
        <w:t>En outre, le recourant, qui n'a séjourné que deux jours en Autriche (cf. le procès-verbal de l'audition du 10 novembre 2022, ch. 2.06), n'a pas démontré que ses conditions d'existence dans ce pays revêtiraient un tel degré de pénibilité et de gravité qu'elles seraient constitutives d'un traitement contraire à l'art. 3 CEDH ou encore à l'art. 3 Conv. torture.</w:t>
      </w:r>
    </w:p>
    <w:p>
      <w:r>
        <w:rPr>
          <w:b/>
        </w:rPr>
        <w:t>E. 5.5</w:t>
      </w:r>
    </w:p>
    <w:p>
      <w:r>
        <w:t>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a certes allégué que les autorités autrichiennes avaient eu un comportement répréhensible à son égard, l'ayant en particulier contraint de déposer ses empreintes digitales, privé de nourriture au cours de son interpellation et amené dans un centre d'où il n'aurait pu sortir. Ces éléments ne reposent toutefois que sur ses déclarations et ne sont fondés sur aucun commencement de preuve. Force est notamment de constater à cet égard que le recourant a pu quitter ce camp après deux jours pour rejoindre la Suisse. Au demeurant, si l'intéressé, après son transfert en Autriche,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w:t>
      </w:r>
    </w:p>
    <w:p>
      <w:r>
        <w:rPr>
          <w:b/>
        </w:rPr>
        <w:t>E. 5.6</w:t>
      </w:r>
    </w:p>
    <w:p>
      <w:r>
        <w:t>Par ailleurs, compte tenu de la jurisprudence restrictive en la matière (cf. Paposhvili c. Belgique, arrêt de la Grande Chambre du 13 décembre 2016 [requête n°41738/10]), il y a lieu de considérer que les problèmes de santé de l'intéressé, tels qu'ils ressortent du dossier (cf. les derniers documents médicaux des 28 et 30 décembre 2022 ainsi que du 6 janvier 2023 : [...], [...] et [...]) ne justifient pas de renoncer au transfert du recourant vers l'Autriche. En effet, rien n'indique qu'ils seraient d'une gravité ou d'une spécificité telle qu'ils ne pourraient pas y être traités. En tout état de cause, on rappellera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5.7</w:t>
      </w:r>
    </w:p>
    <w:p>
      <w:r>
        <w:t>S'agissant de la présence d'un cousin maternel en Suisse, il y a lieu de rappeler qu'en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 137 I 113 consid. 6.1). En l'espèce, la relation que le recourant et son cousin maternel entretiennent ne relève pas de la famille dite « nucléaire », telle que définie ci-dessus. En outre, l'intéressé n'a pas non plus démontré qu'il existerait un lien de dépendance particulier entre lui-même et ce cousin du fait, par exemple, d'une maladie grave ou d'un handicap (physique ou mental) nécessitant un soutien que seul ce cousin serait en mesure de lui prodiguer (cf. arrêts du Tribunal fédéral 2C_916/2021 du 17 novembre 2021 consid. 3.3 ; 2C_433/2021 du 21 octobre 2021 consid. 6.1). Partant, le recourant ne peut se prévaloir de l'art. 8 CEDH pour s'opposer à son transfert en Autriche.</w:t>
      </w:r>
    </w:p>
    <w:p>
      <w:r>
        <w:rPr>
          <w:b/>
        </w:rPr>
        <w:t>E. 5.8</w:t>
      </w:r>
    </w:p>
    <w:p>
      <w:r>
        <w:t>N'est pas non plus décisif le fait que l'intéressé ne souhaitait pas déposer sa demande d'asile en Autriche. Le règlement Dublin III ne confère en effet pas aux demandeurs d'asile le droit de choisir l'Etat membre offrant, à leur avis, les meilleures conditions d'accueil comme Etat responsable de l'examen de leur demande d'asile (cf. ATAF 2017 VI/7 consid. 6.11 ; 2017 VI/5 consid. 8.2.1 ; 2010/45 consid. 8.3).</w:t>
      </w:r>
    </w:p>
    <w:p>
      <w:r>
        <w:rPr>
          <w:b/>
        </w:rPr>
        <w:t>E. 5.9</w:t>
      </w:r>
    </w:p>
    <w:p>
      <w:r>
        <w:t>Par conséquent, le transfert du recourant vers l'Autriche n'est pas contraire aux obligations découlant de dispositions conventionnelles auxquelles la Suisse est liée.</w:t>
      </w:r>
    </w:p>
    <w:p>
      <w:r>
        <w:rPr>
          <w:b/>
        </w:rPr>
        <w:t>E. 5.10</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5.11</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6</w:t>
      </w:r>
    </w:p>
    <w:p>
      <w:r>
        <w:t>Au vu de ce qui précède, c'est à juste titre que le SEM n'est pas entré en matière sur la demande d'asile de l'intéressé, en application de l'art. 31a al. 1 let. b LAsi, et a prononcé son transfert de la Suisse vers l'Autriche, en application de l'art. 44 LAsi. Par conséquent, le recours doit être rejeté.</w:t>
      </w:r>
    </w:p>
    <w:p>
      <w:r>
        <w:rPr>
          <w:b/>
        </w:rPr>
        <w:t>E. 7</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8.1</w:t>
      </w:r>
    </w:p>
    <w:p>
      <w:r>
        <w:t>Dans la mesure où il est immédiatement statué sur le fond, les demandes tendant à l'octroi de l'effet suspensif et à la dispense du versement d'une avance de frais sont sans objet, l'ordonnance de mesures superprovisionnelles du 28 décembre 2022 devenant pour sa part caduque suite au présent arrêt.</w:t>
      </w:r>
    </w:p>
    <w:p>
      <w:r>
        <w:rPr>
          <w:b/>
        </w:rPr>
        <w:t>E. 8.2</w:t>
      </w:r>
    </w:p>
    <w:p>
      <w:r>
        <w:t>Les conclusions du recours étant d'emblée vouées à l'échec, la requête d'assistance judiciaire totale est rejetée (art. 65 al. 1 PA et art. 102m al. 1 LAsi).</w:t>
      </w:r>
    </w:p>
    <w:p>
      <w:r>
        <w:rPr>
          <w:b/>
        </w:rPr>
        <w:t>E. 8.3</w:t>
      </w:r>
    </w:p>
    <w:p>
      <w:r>
        <w:t>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