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D-5983/2023 vom 27. September 2023</w:t>
      </w:r>
    </w:p>
    <w:p>
      <w:r>
        <w:t>Bundesverwaltungsgericht, 2023-09-27, FR</w:t>
      </w:r>
    </w:p>
    <w:p>
      <w:r>
        <w:rPr>
          <w:b/>
        </w:rPr>
        <w:t xml:space="preserve">Quelle: </w:t>
      </w:r>
      <w:r>
        <w:t>https://mcp.opencaselaw.ch/entscheid/bvger_D-5983_2023_d20230927</w:t>
      </w:r>
    </w:p>
    <w:p>
      <w:r>
        <w:t>FR: TAF D-5983/2023 du 27 septembre 2023</w:t>
      </w:r>
    </w:p>
    <w:p>
      <w:r>
        <w:t>IT: TAF D-5983/2023 del 27 settembre 2023</w:t>
      </w:r>
    </w:p>
    <w:p>
      <w:pPr>
        <w:pStyle w:val="Heading2"/>
      </w:pPr>
      <w:r>
        <w:t>Regeste</w:t>
      </w:r>
    </w:p>
    <w:p>
      <w:r>
        <w:t>Protection des donn&amp;eacute;es | Protection des données; décision du SEM du 27 septembre 2023</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27 septembre 2023, le nouveau droit s’applique.</w:t>
      </w:r>
    </w:p>
    <w:p>
      <w:r>
        <w:rPr>
          <w:b/>
        </w:rPr>
        <w:t>E. 1.2</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w:t>
      </w:r>
    </w:p>
    <w:p>
      <w:r>
        <w:t>D-5983/2023 Page 4 disposition. Sa décision du 27 septembre 2023 en tant qu’elle porte sur le la modification des données personnelles de l’intéressé figurant sur SYMIC et contre laquelle ce dernier a recouru, satisfait en outre aux conditions de l'art. 5 PA et n'entre pas dans le champ d'exclusion de l'art. 32 LTAF.</w:t>
      </w:r>
    </w:p>
    <w:p>
      <w:r>
        <w:rPr>
          <w:b/>
        </w:rPr>
        <w:t>E. 1.3</w:t>
      </w:r>
    </w:p>
    <w:p>
      <w:r>
        <w:t>La procédure est régie par la PA, sous réserve de dispositions particulières de la LTAF (art. 37 LTAF).</w:t>
      </w:r>
    </w:p>
    <w:p>
      <w:r>
        <w:rPr>
          <w:b/>
        </w:rPr>
        <w:t>E. 1.4</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 ouverte au Tribunal fédéral (art. 82 ss LTF ; arrêt du TF 1C_452/2021 du 23 novembre 2022 consid. 1).</w:t>
      </w:r>
    </w:p>
    <w:p>
      <w:r>
        <w:rPr>
          <w:b/>
        </w:rPr>
        <w:t>E. 1.5</w:t>
      </w:r>
    </w:p>
    <w:p>
      <w:r>
        <w:t>L’intéressé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w:t>
      </w:r>
    </w:p>
    <w:p>
      <w:r>
        <w:t>D-5983/2023 Page 5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w:t>
      </w:r>
    </w:p>
    <w:p>
      <w:r>
        <w:t>D-5983/2023 Page 6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 A-3153/2017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Il convient d’examiner en premier lieu les griefs formels soulevés par l’intéressé,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reproche à l’autorité intimée d’avoir instruit et établi les faits liés à sa minorité de manière insuffisante, en omettant de le soumettre à une analyse médico-légale visant à déterminer son âge. Il lui fait également grief de ne pas avoir tenu compte de sa prise de position du 18 septembre 2023.</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w:t>
      </w:r>
    </w:p>
    <w:p>
      <w:r>
        <w:t>D-5983/2023 Page 7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op. cit., n° 1043, p. 369 ss).</w:t>
      </w:r>
    </w:p>
    <w:p>
      <w:r>
        <w:rPr>
          <w:b/>
        </w:rPr>
        <w:t>E. 4.3</w:t>
      </w:r>
    </w:p>
    <w:p>
      <w:r>
        <w:t>Pour savoir si une donnée est exacte ou non,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et 6.3 à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Tribunal fédéral 1B_425/2021 du 17 novembre 2021 consid. 4.2 ; ATAF 2019 I/6 consid. 5.3-5.4 ; 2009/54 consid. 4.1 et réf. cit. ; arrêt du Tribunal E-843/2023 du 21 février 2023 consid. 2.6 et réf. cit.).</w:t>
      </w:r>
    </w:p>
    <w:p>
      <w:r>
        <w:rPr>
          <w:b/>
        </w:rPr>
        <w:t>E. 4.4</w:t>
      </w:r>
    </w:p>
    <w:p>
      <w:r>
        <w:t>En l’absence de document d’identité (sur cette notion, cf. art.1a let. c de l'ordonnance 1 du 11 août 1999 sur l'asile [OA 1, RS 142.311]) susceptible de prouver ou, du moins, rendre vraisemblable sa minorité, c’est à bon droit que le SEM s’est fondé sur les conclusions tirées de l’audition RMNA du 5 septembre 2023 pour déterminer son âge. Au cours de la procédure, l’autorité intimée a instruit la question centrale de la date de naissance de l’intéressé en le questionnant directement à ce propos (cf. procès-verbal de l’audition [ci-après : p-v] du 5 septembre 2023, pt 1.06), en l’interrogeant sur son âge lors des différentes étapes de sa vie (cf. idem, pts 1.17.04, 2.01 et 5.01) et en lui accordant spécifiquement un droit d’être entendu à ce sujet (cf. courrier du SEM du 8 septembre 2023 et observations de l’intéressé du 18 septembre 2023). Ce faisant, le SEM</w:t>
      </w:r>
    </w:p>
    <w:p>
      <w:r>
        <w:t>D-5983/2023 Page 8 a établi de manière appropriée l’état de fait déterminant en lien avec l’âge du requérant et pris en compte toutes les pièces pertinentes du dossier. Il sied de rappeler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w:t>
      </w:r>
    </w:p>
    <w:p>
      <w:r>
        <w:rPr>
          <w:b/>
        </w:rPr>
        <w:t>E. 4.5</w:t>
      </w:r>
    </w:p>
    <w:p>
      <w:r>
        <w:t>Au vu de ce qui précède, le SEM pouvait, sur la base des éléments à sa disposition et par appréciation anticipée des preuves, renoncer à ordonner une expertise visant à déterminer plus précisément l’âge de l’intéressé, étant encore rappelé ici que la disposition légale relative à cette mesure d’instruction (art. 17 al. 3bis LAsi) est rédigée de manière potestative (Kann-Vorschrift).</w:t>
      </w:r>
    </w:p>
    <w:p>
      <w:r>
        <w:rPr>
          <w:b/>
        </w:rPr>
        <w:t>E. 4.6</w:t>
      </w:r>
    </w:p>
    <w:p>
      <w:r>
        <w:t>Mal fondés, les griefs d’établissement inexact ou incomplet de l’état de fait pertinent et de violation de la maxime inquisitoire en relation avec l’âge de l’intéressé doivent être écartés.</w:t>
      </w:r>
    </w:p>
    <w:p>
      <w:r>
        <w:rPr>
          <w:b/>
        </w:rPr>
        <w:t>E. 5</w:t>
      </w:r>
    </w:p>
    <w:p>
      <w:r>
        <w:t>septembre 2023, pt 7.02). Il en va de même en ce qui concerne les questions relatives à son environnement de vie en Guinée, l’intéressé ayant été incapable de citer l’adresse, où il a toujours vécu avec son père et d’expliquer comment s’y rendre (cf. idem, pts 2.01 et 2.02). Questionné sur la date de décès de sa mère, il a expliqué ne pas pouvoir répondre, car il aurait été trop jeune au moment de sa mort (cf. idem, pt 1.16.04). Cette réponse, qui est en contradiction flagrante avec ses explications selon lesquelles il aurait appris sa propre date de naissance par l’intermédiaire de sa mère (cf. idem, pt 1.06), ne convainc pas. Les tentatives d’explications fournies par le requérant pour expliquer ses imprécisions et incohérences, notamment son jeune âge et son faible niveau d’éducation, tombent à faux. En effet, le caractère évasif de ses réponses s’est pour l’essentiel limité, de manière opportuniste, aux seules questions destinées à déterminer son âge et à celles relatives à son environnement dans son pays d’origine, alors qu’il a pu répondre sans hésitation, ni atermoiement, et de manière nettement plus précise aux autres questions, comme celles relatives à son voyage jusqu’en Suisse.</w:t>
      </w:r>
    </w:p>
    <w:p>
      <w:r>
        <w:rPr>
          <w:b/>
        </w:rPr>
        <w:t>E. 5.1</w:t>
      </w:r>
    </w:p>
    <w:p>
      <w:r>
        <w:t>Cela étant, il sied de constater que les pièces produites au stade du recours, soit des copies d’extraits de l’acte de naissance de l’intéressé ne constituent pas un document d’identité, au sens de l’art. 1a let. c OA1, de nature à prouver sa prétendue minorité, ou, à tout le moins, de la rendre vraisemblable. En effet, dans la mesure où le support sur lequel ces documents figurent est une photocopie, sa valeur probante est d’emblée sujette à caution, un tel procédé n’excluant pas des manipulations, par exemple des ajouts, des modifications ou encore des suppressions d’informations, tels que des chiffres et des lettres (cf. arrêt du Tribunal D-2513/2023 du 29 août 2023 consid. 4.2.3). A cela s’ajoute que l’un des timbres apposés sur l’extrait est illisible et que le sceau certifiant que la copie est conforme au document original présente une faute d’orthographe (« […] […] »). Dans ces conditions, le moyen de preuve produit par le recourant n’est pas propre à prouver son âge.</w:t>
      </w:r>
    </w:p>
    <w:p>
      <w:r>
        <w:rPr>
          <w:b/>
        </w:rPr>
        <w:t>E. 5.2</w:t>
      </w:r>
    </w:p>
    <w:p>
      <w:r>
        <w:t>En l’absence de preuve formelle, il reste donc à examiner les déclarations de l’intéressé concernant son âge, pour apprécier les</w:t>
      </w:r>
    </w:p>
    <w:p>
      <w:r>
        <w:t>D-5983/2023 Page 9 éléments en faveur, comme en défaveur, de leur vraisemblance. Sur ce point, c’est à bon droit que le SEM a retenu que la minorité de l’intéressé paraissait invraisemblable, ses déclarations à ce sujet étant restées superficielles ainsi qu’en partie contradictoires et illogiques. En effet, son récit relatif notamment à des évènements marquants de sa vie ne contiennent aucune indication précise et objective permettant d’asseoir ses allégations relatives à son âge. Lorsqu’il lui a été posé des questions destinées à établir des repères temporels et, par conséquent, à déterminer son âge, ses réponses sont restées pour le moins évasives (« Je n’ai pas ça en tête » ; « Je n’ai pas retenu la date » ; « Je n’ai pas non plus cette date en tête. Je ne me rappelle pas », « Je ne sais pas » cf. p-v du 5 septembre 2023, pt 1.17.04), celui-ci n’ayant même pas été en mesure d’indiquer quand il avait commencé l’école primaire (cf. ibidem) ou quand sa belle-mère avait emménagé dans la maison familiale (cf. p-v du</w:t>
      </w:r>
    </w:p>
    <w:p>
      <w:r>
        <w:rPr>
          <w:b/>
        </w:rPr>
        <w:t>E. 5.3</w:t>
      </w:r>
    </w:p>
    <w:p>
      <w:r>
        <w:t>En outre, s’agissant des modalités de son départ de Guinée, force est d’admettre qu’elles n’apparaissent pas crédibles. Il est en effet pour le moins singulier que son voisin, en plus de lui proposer de quitter le pays et le continent africain, ait entièrement organisé et financé son voyage en Europe, uniquement parce qu’il s’était plaint auprès de lui, la veille, de problèmes rencontrés avec son père (cf. idem, pt 5.01). Quoi qu’il en soit,</w:t>
      </w:r>
    </w:p>
    <w:p>
      <w:r>
        <w:t>D-5983/2023 Page 10 les conditions dans lesquelles son voyage aurait été organisé, la même nuit et dans les circonstances décrites, sont invraisemblables.</w:t>
      </w:r>
    </w:p>
    <w:p>
      <w:r>
        <w:rPr>
          <w:b/>
        </w:rPr>
        <w:t>E. 5.4</w:t>
      </w:r>
    </w:p>
    <w:p>
      <w:r>
        <w:t>De surcroît, constitue un indice, certes faible, dans la mesure où les circonstances de l’enregistrement de l’identité en Italie n’ont pas été investiguées plus avant, le fait que l’intéressé ait indiqué être majeur aux autorités italiennes. Ces explications selon lesquelles il aurait menti – en raison du manque de nourriture et afin d’être relâché au plus vite par les autorités – en indiquant une date de naissance erronée sur le conseil d’inconnus, laissent penser qu’il adapte son âge au gré des circonstances et de ses propres intérêts. Aussi ne lui font-elles que perdre davantage en crédibilité.</w:t>
      </w:r>
    </w:p>
    <w:p>
      <w:r>
        <w:rPr>
          <w:b/>
        </w:rPr>
        <w:t>E. 5.5</w:t>
      </w:r>
    </w:p>
    <w:p>
      <w:r>
        <w:t>Sur la base de ce qui précède, il ne peut donc être reproché au SEM d’avoir accordé une valeur trop importante aux éléments plaidant en défaveur de la minorité alléguée de l’intéressé. Le SEM pouvait dès lors légitimement considérer, compte tenu du procès-verbal d’audition RMNA, que la prétendue minorité du recourant n’était pas hautement probable et le considérer comme majeur. Il ne se justifie ainsi pas de procéder à la rectification demandée, au sens de l’art. 6 al. 5 LPD, le recourant n’étant pas parvenu à démontrer l’exactitude, ni la haute vraisemblance de la modification requise. Le caractère litigieux de la date de naissance retenue est pour le reste déjà mentionné dans le système SYMIC (art. 41 al. 4 LPD), ainsi que cela ressort du consid. II, p. 5, par. 6 de la décision attaquée.</w:t>
      </w:r>
    </w:p>
    <w:p>
      <w:r>
        <w:rPr>
          <w:b/>
        </w:rPr>
        <w:t>E. 6</w:t>
      </w:r>
    </w:p>
    <w:p>
      <w:r>
        <w:t>Dans ces conditions, le recours est rejeté et la décision attaquée confirmée.</w:t>
      </w:r>
    </w:p>
    <w:p>
      <w:r>
        <w:rPr>
          <w:b/>
        </w:rPr>
        <w:t>E. 7</w:t>
      </w:r>
    </w:p>
    <w:p>
      <w:r>
        <w:t>Dans la mesure où il est immédiatement statué sur le fond, les requêtes relatives à l’exemption du paiement d’une avance de frais et à la restitution de l’effet suspensif deviennent sans objet.</w:t>
      </w:r>
    </w:p>
    <w:p>
      <w:r>
        <w:rPr>
          <w:b/>
        </w:rPr>
        <w:t>E. 8.1</w:t>
      </w:r>
    </w:p>
    <w:p>
      <w:r>
        <w:t>Les conclusions du recours étant d’emblée vouées à l’échec, la demande d’assistance judiciaire partielle doit être rejetée (art. 65 al. 1 PA).</w:t>
      </w:r>
    </w:p>
    <w:p>
      <w:r>
        <w:rPr>
          <w:b/>
        </w:rPr>
        <w:t>E. 8.2</w:t>
      </w:r>
    </w:p>
    <w:p>
      <w:r>
        <w:t>Vu l'issue de la procédure, il y aurait lieu de mettre les frais à la charge du recourant, conformément aux art. 63 al. 1 PA, 2 et 3 let. b du règlement</w:t>
      </w:r>
    </w:p>
    <w:p>
      <w:r>
        <w:t>D-5983/2023 Page 11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et 6 FITAF).</w:t>
      </w:r>
    </w:p>
    <w:p>
      <w:r>
        <w:t>(dispositif : page suivante)</w:t>
      </w:r>
    </w:p>
    <w:p>
      <w:r>
        <w:t>D-5983/2023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