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D-5982/2025 vom 5. August 2025</w:t>
      </w:r>
    </w:p>
    <w:p>
      <w:r>
        <w:t>Bundesverwaltungsgericht, 2025-08-05, DE</w:t>
      </w:r>
    </w:p>
    <w:p>
      <w:r>
        <w:rPr>
          <w:b/>
        </w:rPr>
        <w:t xml:space="preserve">Quelle: </w:t>
      </w:r>
      <w:r>
        <w:t>https://mcp.opencaselaw.ch/entscheid/bvger_D-5982_2025_d20250805</w:t>
      </w:r>
    </w:p>
    <w:p>
      <w:r>
        <w:t>FR: TAF D-5982/2025 du 5 août 2025</w:t>
      </w:r>
    </w:p>
    <w:p>
      <w:r>
        <w:t>IT: TAF D-5982/2025 del 5 agosto 2025</w:t>
      </w:r>
    </w:p>
    <w:p>
      <w:pPr>
        <w:pStyle w:val="Heading2"/>
      </w:pPr>
      <w:r>
        <w:t>Regeste</w:t>
      </w:r>
    </w:p>
    <w:p>
      <w:r>
        <w:t>Asyl und Wegweisung (beschleunigtes Verfahren) | Asyl und Wegweisung (beschleunigtes Verfahren); Verfügung des SEM vom 5.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D-5982/2025 Seite 4</w:t>
      </w:r>
    </w:p>
    <w:p>
      <w:r>
        <w:rPr>
          <w:b/>
        </w:rPr>
        <w:t>E. 1.2</w:t>
      </w:r>
    </w:p>
    <w:p>
      <w:r>
        <w:t>Die Beschwerde ist frist- und formgerecht eingereicht worden. Der Beschwerdeführer ist als Verfügungsadressat zur Einreichung der Be- schwerde legitimiert (Art. 105 und Art. 108 Abs. 3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Auf den Prozessantrag auf Erteilung der aufschiebenden Wirkung der Be- schwerde ist, da dieser eine solche bereits von Gesetzes wegen zukommt und sie von der Vorinstanz nicht entzogen wurde (Art. 55 VwVG), mangels Rechtsschutzinteresses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t>D-5982/2025 Seite 5</w:t>
      </w:r>
    </w:p>
    <w:p>
      <w:r>
        <w:rPr>
          <w:b/>
        </w:rPr>
        <w:t>E. 6.1</w:t>
      </w:r>
    </w:p>
    <w:p>
      <w:r>
        <w:t>Die Vorinstanz gelangt in der angefochtenen Verfügung im Wesentli- chen zum Schluss, die Vorbringen des Beschwerdeführers hielten den An- forderungen an die Flüchtlingseigenschaft nicht stand. Mit dem Vorbringen, dass drei Personen beim Beschwerdeführer zu Hause aufgrund einer nicht bezahlten Geldschuld eingedrungen seien, werde keine Verfolgung im Sinne von Art. 18 AsylG zum Ausdruck gebracht. Es handle sich viel eher um die Aufarbeitung eines gemeinrechtlichen Delikts mit zivilrechtlichen Konsequenzen, wobei die juristischen Vorgänge mit Hilfe der Heimatbehörden zu veranlassen seien. Auch sei dieses Vorbrin- gen nicht geeignet, die Flüchtlingseigenschaft zu begründen, zumal die geltend gemachte drohende Verfolgung nicht an die Zugehörigkeit zu einer in Art. 3 AsylG genannten Gruppe anknüpfe. Zudem sei die Republik Kosovo durch den Bundesrat zum verfolgungssi- cheren Staat erklärt worden, womit die Regelvermutung bestehe, dass keine asylrelevante staatliche Verfolgung stattfinde und Schutz vor nicht- staatlicher Verfolgung gewährleistet sei. Es handle sich um eine relative Verfolgungssicherheit, welche im Einzelfall aufgrund konkreter und sub- stantiierter Hinweise umgestossen werden könne. Weiter verfüge der Ko- sovo über ein funktionierendes Polizei- und Justizsystem, welches auch ethnischen Minderheiten zur Verfügung stehe. Der Beschwerdeführer habe weder eine formelle Anzeige gegen C._______ eingereicht noch habe er den nächtlichen Überfall den Behörden zur Kenntnis gebracht. Es könne den Behörden nicht vorgeworfen werden, diese seien nicht schutzwillig oder -fähig. Auch gestehe die neue kosovarische Verfassung den Minder- heiten umfassende Rechte zu, wonach dem Beschwerdeführer auch nicht darin gefolgt werden könne, Ashkali würden über keinerlei Rechte verfü- gen. Schliesslich würden auch die geltend gemachten schwierigen Le- bensumstände im Kosovo kein Asylgrund nach Art. 3 Abs. 1 AsylG darstel- len.</w:t>
      </w:r>
    </w:p>
    <w:p>
      <w:r>
        <w:rPr>
          <w:b/>
        </w:rPr>
        <w:t>E. 6.2</w:t>
      </w:r>
    </w:p>
    <w:p>
      <w:r>
        <w:t>In der Beschwerdeschrift hielt der Beschwerdeführer an seinen bishe- rigen Vorbringen fest. Er macht geltend, eine Rückkehr in den Kosovo ma- che ihm Angst, einerseits aufgrund der Situation mit dem Autovermieter und andererseits wegen des Ereignisses, bei welchem die Männer in sein Haus eingedrungen seien. Zudem bringe ihn der im Kosovo herrschende Rassismus an seine Grenzen.</w:t>
      </w:r>
    </w:p>
    <w:p>
      <w:r>
        <w:t>D-5982/2025 Seite 6</w:t>
      </w:r>
    </w:p>
    <w:p>
      <w:r>
        <w:rPr>
          <w:b/>
        </w:rPr>
        <w:t>E. 7.1</w:t>
      </w:r>
    </w:p>
    <w:p>
      <w:r>
        <w:t>Der Bundesrat hat, wie die Vorinstanz zutreffend ausgeführt hat, Ko- sovo als verfolgungssicheren Staat im Sinne von Art. 6a Abs. 2 Bst. a AsylG bezeichnet. Bei einem solchen Staat gilt grundsätzlich die Regelver- mutung, dass asylrelevante staatliche Verfolgung nicht stattfindet und Schutz vor nichtstaatlicher Verfolgung gewährleistet ist. Im Einzelfall kann die Regelvermutung aufgrund konkreter und substanziierter Hinweise um- gestossen werden, wobei die Beweislast des Gegenteils der asylsuchen- den Person obliegt (vgl. BVGE 2013/10 E. 7.4.3).</w:t>
      </w:r>
    </w:p>
    <w:p>
      <w:r>
        <w:rPr>
          <w:b/>
        </w:rPr>
        <w:t>E. 7.2</w:t>
      </w:r>
    </w:p>
    <w:p>
      <w:r>
        <w:t>Der Beschwerdeführer vermag den überzeugenden Argumenten der Vorinstanz mit seinen weitgehend unsubstantiierten Ausführungen auf Be- schwerdeebene nichts Entscheidendes entgegenzuhalten. Bei der geltend gemachten Bedrohung durch den Autovermieter und dem nächtlichen Ein- dringen der Männer handelt es sich – wie die Vorinstanz richtig festgestellt hat – nicht um eine asylrechtlich relevante Verfolgung im Sinne von Art. 3 AsylG und den geltend gemachten Fluchtgründen sind keine Hinweise auf eine staatliche Verfolgung zu entnehmen. Der Beschwerdeführer hat sich nicht um staatlichen Schutz bemüht und es gibt keine konkreten Hinweise in den Akten, dass ihm ein solcher verweigert worden wäre oder künftig verweigert werden würde. Dem Beschwerdeführer wäre es also möglich und zumutbar gewesen, sich wegen der vorgetragenen Ereignisse an die lokalen Behörden zu wenden. Es ist ihm damit nicht gelungen, die Regel- vermutung umzustossen.</w:t>
      </w:r>
    </w:p>
    <w:p>
      <w:r>
        <w:rPr>
          <w:b/>
        </w:rPr>
        <w:t>E. 7.3</w:t>
      </w:r>
    </w:p>
    <w:p>
      <w:r>
        <w:t>Nach dem Gesagten hat das SEM die Flüchtlingseigenschaft des Be- schwerdeführers zu Recht verneint und sein Asylgesuch folgerichtig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D-5982/2025 Seite 7</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w:t>
      </w:r>
    </w:p>
    <w:p>
      <w:r>
        <w:t>D-5982/2025 Seite 8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im Kosovo, die weder von Bürgerkrieg noch von allgemeiner Gewalt gekennzeichnet ist, steht einem Wegweisungsvollzug nicht entgegen. Der Bundesrat hat Kosovo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9.3.3</w:t>
      </w:r>
    </w:p>
    <w:p>
      <w:r>
        <w:t>Der Beschwerdeführer gehört der Volksgruppe der Ashkali an. Die allgemeine Lage in Kosovo ist weder von Krieg, Bürgerkrieg noch von all- gemeiner Gewalt gekennzeichnet und der Vollzug der Wegweisung dorthin grundsätzlich zumutbar (vgl. zuletzt etwa die Urteile des BVGer E- 3759/2025 vom 2. Juni 2025 E. 8.3.2, E-2036/2021 vom 30. April 2025 E. 10.2.1 und D-5633/2024 vom 10. Januar 2025 E. 11.3.2). Der Bundesrat hat Kosovo als Heimat- oder Herkunftsstaat bezeichnet, in welchen eine Rückkehr in der Regel zumutbar ist (vgl. Art. 83 Abs. 5 AIG und Anhang 2 der Verordnung über den Vollzug der Weg- und Ausweisung sowie der</w:t>
      </w:r>
    </w:p>
    <w:p>
      <w:r>
        <w:t>D-5982/2025 Seite 9 Landesverweisung von ausländischen Personen [VVWAL, SR 142.281]). Es obliegt der betroffenen Person, diese Legalvermutung gegebenenfalls mit substanziierten Gegenargumenten umzustossen. Gemäss geltender Rechtsprechung ist der Vollzug der Wegweisung von albanisch-sprachigen Roma, Ashkali und «Ägyptern» in den Kosovo in der Regel zumutbar, so- fern aufgrund einer Einzelfallabklärung feststeht, dass bestimmte Reinteg- rationskriterien erfüllt sind (vgl. BVGE 2007/10 E. 5.3). Das SEM hat im vorliegenden Verfahren hinreichend begründet, warum es den Vollzug der Wegweisung in den Kosovo als zumutbar erachtet. Das Gericht teilt seine Einschätzung. Der Beschwerdeführer ist abgesehen von unbelegten und nicht substantiierten psychischen Beschwerden gesund. Er hat einen überwiegenden Teil seines Lebens in B._______ verbracht, womit von einem sozialen Beziehungsnetz auszugehen ist. Zudem hat er dort bis zu seiner Ausreise in einem im Besitz der Familie stehenden Haus gelebt, womit er über eine gesicherte Unterkunft verfügt. Er finanzierte sei- nen Lebensunterhalt als Verkäufer auf dem Markt, durch Sammeln und Verkauf wiederverwertbaren Abfalls sowie durch gelegentliche Unterstüt- zung von Verwandten im Ausland. Ohne die wirtschaftlich schwierige Lage des Beschwerdeführers zu verkennen, ist davon auszugehen, dass er seine bisherigen Tätigkeiten aufnehmen und seinen Lebensunterhalt finan- zieren können wird oder er die im Kosovo grundsätzlich erhältliche Sozial- hilfe beantragen kann. Zudem hielt die Vorinstanz richtig fest, dass der Be- schwerdeführer in weniger als zwei Jahren im Kosovo einen Anspruch auf eine Grundaltersrente haben wird. Es ist nicht davon auszugehen, dass der Beschwerdeführer bei einer Rückkehr in eine finanzielle, gesundheitli- che oder soziale existenzielle Notlage geraten wird.</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D-5982/2025 Seite 10</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Gesuche um Gewährung der unentgeltlichen Prozessführung und um Einsetzung eines amtlichen Rechtsbeistands sind ungeachtet der be- haupteten Mittellosigkeit abzuweisen, da die Begehren – wie sich aus den vorstehenden Erwägungen ergibt – als vornherein aussichtslos zu bezeich- nen sind (Art. 65 Abs. 1 VwVG). Das Gesuch um Verzicht auf die Erhebung eines Kostenvorschusses wird mit dem vorliegenden Direktentscheid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D-5982/2025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