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D-5981/2014 vom 30. Dezember 2014</w:t>
      </w:r>
    </w:p>
    <w:p>
      <w:r>
        <w:t>Bundesverwaltungsgericht, 2014-12-30, DE</w:t>
      </w:r>
    </w:p>
    <w:p>
      <w:r>
        <w:rPr>
          <w:b/>
        </w:rPr>
        <w:t xml:space="preserve">Quelle: </w:t>
      </w:r>
      <w:r>
        <w:t>https://mcp.opencaselaw.ch/entscheid/bvger_D-5981_2014</w:t>
      </w:r>
    </w:p>
    <w:p>
      <w:r>
        <w:t>FR: TAF D-5981/2014 du 30 décembre 2014</w:t>
      </w:r>
    </w:p>
    <w:p>
      <w:r>
        <w:t>IT: TAF D-5981/2014 del 30 dicembre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w:t>
      </w:r>
    </w:p>
    <w:p>
      <w:r>
        <w:rPr>
          <w:b/>
        </w:rPr>
        <w:t>E. 1.3</w:t>
      </w:r>
    </w:p>
    <w:p>
      <w:r>
        <w:t>Bei der vorliegenden Beschwerde handelt es sich um eine sogenannte "Laienbeschwerde", an die keine hohen formellen Anforderungen zu stellen sind. Auf die frist- und insoweit formgerecht eingereichte Beschwerde ist einzutreten (Art. 50 sowie Art. 52 VwVG).</w:t>
      </w:r>
    </w:p>
    <w:p>
      <w:r>
        <w:rPr>
          <w:b/>
        </w:rPr>
        <w:t>E. 1.4</w:t>
      </w:r>
    </w:p>
    <w:p>
      <w:r>
        <w:t>Aus den Beschwerdevorbringen geht hervor, dass ausschliesslich zugunsten der Eltern Beschwerde erhoben wird. Demzufolge ist die vorinstanzliche Verfügung in Bezug auf den Bruder (D._______) in Rechtskraft erwachsen.</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nachfolgende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4.2</w:t>
      </w:r>
    </w:p>
    <w:p>
      <w:r>
        <w:t>Die Behandlung der vorliegenden Visagesuche für die Schweiz fallen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4.3</w:t>
      </w:r>
    </w:p>
    <w:p>
      <w:r>
        <w:t>Die Einreisevoraussetzungen für einen Drittstaatsangehörigen für einen Aufenthalt von bis zu drei Monaten je Sechsmonatszeitraum präzisiert Art. 5 Abs. 1 der Verordnung (EG) Nr. 562/2006 des Europäischen Parlaments und des Rates vom 15. März 2006 über einen Gemeinschaftskodex für das Überschreiten der Grenzen durch Personen (Schengener Grenzkodex [SGK, ABl. L 105/1 vom 13. April 2006]; vgl. Art. 2 Abs. 1 VEV). Die in Art. 5 Abs. 1 und 2 AuG aufgelisteten Voraussetzungen entsprechen diesen im Wesentlichen (vgl. BVGE 2009/27 E. 5). Art. 5 Abs. 1 Bst. b SGK besagt im Einzelnen, dass ein Drittstaatangehöriger, sofern er über keinen gültigen Aufenthaltstitel verfügt, zur Einreise ein gültiges Visum vorzuweisen hat,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Die Verordnung (EG) Nr. 539/2001 verweist sodann in Art. 1 Abs. 1 und 2 auf die Anhänge I und II, welche jeweils eine Liste von Drittländern enthalten. In Anhang I sind diejenigen Drittstaaten aufgelistet, deren Staatsangehörige beim Überschreiten der Aussengrenze der Schengen-Mitgliedstaaten im Besitze eines Visums sein müssen, in Anhang II dagegen diejenigen, deren Staatsangehörige von der Visumspflicht befreit sind. Syrien ist in der Liste im Anhang I der Verordnung (EG) Nr. 539/2001 aufgeführt, womit deren Staatsangehörige visumspflichtig sind. Die Voraussetzungen und das Verfahren für die Erteilung von Visa werden mit dem Visakodex festgelegt. Bei der Prüfung eines Antrags auf ein sogenannt "einheitliches Visum" ist nach Art. 21 Abs. 1 Visakodex unter anderem festzuhalten, ob der Antragssteller die Einreisevoraussetzungen nach dem hiervor genannten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lit. d Visakodex; Art. 5 Abs. 2 AuG).</w:t>
      </w:r>
    </w:p>
    <w:p>
      <w:r>
        <w:rPr>
          <w:b/>
        </w:rPr>
        <w:t>E. 4.4</w:t>
      </w:r>
    </w:p>
    <w:p>
      <w:r>
        <w:t>Sind die Voraussetzungen für die Ausstellung eines für den gesamten Schengen-Raum geltenden Visums nicht erfüllt, kann in Ausnahmefällen ein Visum mit beschränkter Gültigkeit erteilt werden. Ein Mitgliedstaat ist berechtigt, von dieser Möglichkeit unter anderem aus humanitären Gründen gemäss Art. 5 Abs. 4 Bst. c Satz 1 SGK Gebrauch zu machen (vgl. Art. 25 Abs. 1 Bst. a Visakodex; Art. 3 Abs. 2 AuG; Art. 2 Abs. 4 VEV).</w:t>
      </w:r>
    </w:p>
    <w:p>
      <w:r>
        <w:rPr>
          <w:b/>
        </w:rPr>
        <w:t>E. 5</w:t>
      </w:r>
    </w:p>
    <w:p>
      <w:r>
        <w:t>Die Gesuchstellenden mit syrischer Staatsangehörigkeit sind zur Einreise in den Schengen-Raum visumspflichtig. Sie bestreiten weder auf Einsprache- noch auf Beschwerdeebene, dass die Voraussetzungen zur Erteilung eines solches Visums nicht (vollumfänglich) erfüllt sind. Auf Beschwerdeebene wird lediglich dargelegt, dass sie zwar gedenken, wieder zurück in die Heimat zu kehren, dies jedoch erst wenn sich die Lage in Syrien verbessert habe. Aufgrund der gesamten Umstände kann denn auch - entsprechend der Ausführungen des BFM (vgl. Bst. C vorstehend) - nicht geschlossen werden, dass die Gesuchstellenden Gewähr für eine fristgerechte Rückkehr und Ausreise aus der Schweiz und dem Schengen-Raum bieten. Die Erteilung eines Visums mit Gültigkeit für den gesamten Schengen-Raum fällt daher nicht in Betracht.</w:t>
      </w:r>
    </w:p>
    <w:p>
      <w:r>
        <w:rPr>
          <w:b/>
        </w:rPr>
        <w:t>E. 6.1</w:t>
      </w:r>
    </w:p>
    <w:p>
      <w:r>
        <w:t>Im Folgenden gilt es zu prüfen, ob das BFM zu Recht die Erteilung eines Einreisevisums in die Schweiz aus humanitären Gründen abgelehnt hat. Gemäss Art. 2 Abs. 4 VEV können das eidgenössische Departement für auswärtige Angelegenheiten (EDA) und BFM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w:t>
      </w:r>
    </w:p>
    <w:p>
      <w:r>
        <w:rPr>
          <w:b/>
        </w:rPr>
        <w:t>E. 6.2</w:t>
      </w:r>
    </w:p>
    <w:p>
      <w:r>
        <w:t>Nach der geltenden Praxis setzt die Erteilung eines Einreisevisums für die Schweiz aus humanitären Gründen voraus, dass aufgrund des konkreten Einzelfalles offensichtlich davon ausgegangen werden muss, dass die betroffene Person im Heimat- oder Herkunftsstaat unmittelbar, ernsthaft und konkret an Leib und Leben gefährdet ist. Sie muss sich in einer besonderen Notsituation befinden, die ein behördliches Eingreifen zwingend erforderlich macht und es rechtfertigt - ihr im Gegensatz zu anderen Personen - die Erteilung eines Einreisevisums zu erteilen.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noch restriktiver als bei den Auslandgesuchen - mit der dringlichen Änderung des Asylgesetzes vom 28. September 2012 können solche nicht mehr eingereicht werden (AS 2012 5359) -, bei denen Einreisebewilligungen nur sehr zurückhaltend erteilt wurden beziehungsweise werden (vgl. Botschaft zur Änderung des Asylgesetzes vom 26. Mai 2010, BBl 2010 4455, insbesondere 4467 f., 4471 f. und 4490 f.; Urteil des Bundesverwaltungsgerichts E-4618/2014 vom 30. Oktober 2014 E. 4.3, m.w.H.).</w:t>
      </w:r>
    </w:p>
    <w:p>
      <w:r>
        <w:rPr>
          <w:b/>
        </w:rPr>
        <w:t>E. 7.1</w:t>
      </w:r>
    </w:p>
    <w:p>
      <w:r>
        <w:t>Das Gericht gelangt nach Prüfung der Akten - wie bereits das BFM - zum Schluss, dass vorliegend die Voraussetzungen für die Erteilung eines humanitären Visums nicht erfüllt sind. Es kann vollumfänglich auf die entsprechenden Ausführungen in der angefochtenen Verfügung verwiesen werden, die sich als zutreffend erweisen (vgl. Bst. C vorstehend). Daran vermag auch das Beschwerdevorbringen nichts zu ändern, sie würden aufgrund ihres Alters - nach eigenen Angaben sind sie heute 53 und 52 Jahre alt - in der Türkei einer "besonderen Versorgung" bedürfen. Angesichts der Lage, in welcher sich syrische Flüchtlinge befinden, wird nicht daran gezweifelt, dass sich die Gesuchstellenden in der Türkei in einer schwierigen Situation befinden. Doch ist nicht ersichtlich, inwiefern sie in der Türkei unmittelbar, ernsthaft und konkret an Leib und Leben gefährdet sein sollen, was ein behördliches Eingreifen zwingend erforderlich macht und die Erteilung eines Einreisevisums rechtfertigt, zumal die Grundversorgung in der Regel gewährleistet und der Zugang zu medizinischen Basisleistungen gewährleistet sein dürfte. Immerhin ist davon auszugehen, dass die Gesuchstellenden von ihren im Ausland lebenden Familienangehörigen bei Bedarf finanzielle Unterstützung erhalten und die notwendige Fürsorge erfahren. Gleichsam ist ihnen eine Registrierung beim UNHCR zuzumuten, um die gegebenenfalls notwendige Versorgung zu erhalten.</w:t>
      </w:r>
    </w:p>
    <w:p>
      <w:r>
        <w:rPr>
          <w:b/>
        </w:rPr>
        <w:t>E. 7.2</w:t>
      </w:r>
    </w:p>
    <w:p>
      <w:r>
        <w:t>Aufgrund der vorstehenden Erwägungen gelangt das Bundesverwaltungsgericht zum Schluss, dass das BFM zu Recht und mit zutreffender Begründung das Vorliegen der Voraussetzungen zur Erteilung von Einreisevisa verneint und die Einsprache vom 26. September 2014 abgewiesen hat.</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des vorliegenden Verfahrens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