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D-5978/2022 vom 18. Januar 2023</w:t>
      </w:r>
    </w:p>
    <w:p>
      <w:r>
        <w:t>Bundesverwaltungsgericht, 2023-01-18, DE</w:t>
      </w:r>
    </w:p>
    <w:p>
      <w:r>
        <w:rPr>
          <w:b/>
        </w:rPr>
        <w:t xml:space="preserve">Quelle: </w:t>
      </w:r>
      <w:r>
        <w:t>https://mcp.opencaselaw.ch/entscheid/bvger_D-5978_2022</w:t>
      </w:r>
    </w:p>
    <w:p>
      <w:r>
        <w:t>FR: TAF D-5978/2022 du 18 janvier 2023</w:t>
      </w:r>
    </w:p>
    <w:p>
      <w:r>
        <w:t>IT: TAF D-5978/2022 del 18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 in der Regel und auch vorliegend - endgültig (Art. 83 Bst. d Ziff. 1 BGG; Art. 105 AsylG [SR 142.31]). Der Beschwerdeführer ist als Verfügungsadressat zur Beschwerdeführung legitimiert (Art. 48 VwVG). Auf die frist- und formgerecht eingereichte Beschwerde ist einzutreten (Art. 108 Abs. 3 AsylG und Art. 52 Abs. 1 VwVG).</w:t>
      </w:r>
    </w:p>
    <w:p>
      <w:r>
        <w:rPr>
          <w:b/>
        </w:rPr>
        <w:t>E. 2</w:t>
      </w:r>
    </w:p>
    <w:p>
      <w:r>
        <w:t>Das Verfahren richtet sich nach dem VwVG und dem VGG, soweit das AsylG nichts anderes bestimmt (Art. 37 VGG und Art. 6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dasUrteil nur summarisch zu begründen ist (Art. 111a Abs. 2 AsylG). Gestützt auf Art. 111a Abs. 1 AsylG wurde auf einen Schriftenwechsel verzichtet.</w:t>
      </w:r>
    </w:p>
    <w:p>
      <w:r>
        <w:rPr>
          <w:b/>
        </w:rPr>
        <w:t>E. 4.1</w:t>
      </w:r>
    </w:p>
    <w:p>
      <w:r>
        <w:t>Auf Beschwerdeebene werden formelle Rügen - Verletzung des Anspruchs auf rechtliches Gehör sowie der Pflicht zur vollständigen und richtigen Abklärung des rechtserheblichen Sachverhalts - erhoben, welche vorab zu beurteilen sind.</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(BVGE 2015/10 E. 3.2 m.w.H.). Die Behörde ist jedoch nicht verpflichtet, zu jedem Sachverhaltselement umfangreiche Nachforschungen anzustellen. Zusätzliche Abklärungen sind nur dann vorzunehmen, wenn sie aufgrund der Aktenlage als angezeigt erscheinen. Die Parteien haben gemäss Art. 29 VwVG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Nicht erforderlich ist, dass sich die Begründung des Entscheids mit allen Parteistandpunkten einlässlich auseinandersetzt und jedes einzelne Vorbringen ausdrücklich widerlegt (vgl. BVGE 2015/10 E. 3.3; 2016/9 E. 5.1).</w:t>
      </w:r>
    </w:p>
    <w:p>
      <w:r>
        <w:rPr>
          <w:b/>
        </w:rPr>
        <w:t>E. 4.3</w:t>
      </w:r>
    </w:p>
    <w:p>
      <w:r>
        <w:t>Der Beschwerdeführer rügt eine Verletzung des rechtlichen Gehörs, da die zugewiesene Rechtsvertretung das Mandat zur Unzeit niedergelegt und ihm die Verfügung erst mehrere Tage nach deren Eröffnung weitergeleitet habe, womit ihm nur eine unangemessen kurze Beschwerdefrist zur Verfügung gestanden habe. Diesbezüglich ist festzuhalten, dass die angefochtene Verfügung der Rechtsvertretung am 16. Dezember 2022 eröffnet wurde. Gleichentags setzte diese ein Schreiben auf, in welchem sie dem Beschwerdeführer - der offenbar zu einem Termin mit der Rechtsvertretung nicht erschienen war (vgl. Beschwerdeergänzung, Seite 2) - die angefochtene Verfügung übermittelte und ihn darauf hinwies, dass das Mandat niedergelegt werde. Der Sendungsverfolgung der Schweizerischen Post lässt sich entnehmen, dass das betreffende Schreiben (Sendungsverfolgungsnummer [...]) noch am 16. Dezember 2022 (Freitag) aufgegeben und am 19. Dezember 2022 (Montag) zur Abholung gemeldet wurde. Die Zustellung erfolgte am 22. Dezember 2022 am Schalter. Somit kann der Rechtsvertretung nicht vorgeworfen werden, dass sie das Mandat zu spät niedergelegt habe. Indem sie die Verfügung noch am Tag der Eröffnung per Post weiterleitete, ist sie ihren Pflichten ausreichend nachgekommen. Der Beschwerdeführer hat es selbst zu verantworten, dass er das Einschreiben erst mehrere Tage, nachdem es zur Abholung gemeldet wurde, in Empfang genommen hat. Eine Verletzung des Anspruchs auf rechtliches Gehör liegt diesbezüglich nicht vor.</w:t>
      </w:r>
    </w:p>
    <w:p>
      <w:r>
        <w:rPr>
          <w:b/>
        </w:rPr>
        <w:t>E. 4.4</w:t>
      </w:r>
    </w:p>
    <w:p>
      <w:r>
        <w:t>Der Beschwerdeführer moniert weiter eine unvollständige Abklärung des medizinischen Sachverhalts. Er leide aufgrund seiner Erlebnisse in Kroatien unter Schlafproblemen und fühle sich depressiv. Obwohl er anlässlich des Dublin-Gesprächs auf seine psychischen Probleme hingewiesen habe, seien diese nicht weiter abgeklärt worden. Infolge der Schläge durch die kroatische Polizei habe er zudem starke Schmerzen in (...). Ferner leide er an einer (...) und habe (...), was vom SEM nicht genügend abgeklärt worden sei. In diesem Zusammenhang ist festzuhalten, dass der Beschwerdeführer zwar anlässlich des Dublin-Gesprächs psychische Probleme erwähnte und vom SEM darauf hingewiesen wurde, dass er sich an das Gesundheitspersonal seiner Unterkunft wenden könne. Weiter führte er damals aus, er habe keine körperlichen Beschwerden mehr (vgl. SEM-Akte [...]-14/3 [nachfolgend Akte 14]). Vor der Entscheidfällung erkundigte sich das SEM telefonisch bei den zuständigen Gesundheitsbetreuungen der Bundeszentren nach dem Gesundheitszustand des Beschwerdeführers. Diese meldeten zurück, er habe sich bislang einzig aufgrund eines (...) gemeldet und deswegen Medikamente erhalten. Es seien weder weitere Arztberichte vorhanden noch Arzttermine pendent (vgl. SEM-Akte [...]-19/1). Angesichts dieser Abklärungen ist der rechtserhebliche medizinische Sachverhalt als vollständig erstellt zu erachten. Der Beschwerdeführer hatte in der Schweiz Zugang zur medizinischen Versorgung, wobei hinsichtlich der geltend gemachten psychischen Probleme weder eine Behandlung erfolgt ist noch entsprechende Termine vorgesehen sind. Es kann daher davon ausgegangen werden, dass er nicht an derart gravierenden Beschwerden leidet, dass eine akute Behandlung erforderlich wäre. Die weiteren von ihm erwähnten gesundheitlichen Probleme, darunter insbesondere eine (...) und (...), wurden von ihm auf Beschwerdeebene erstmals vorgebracht. Diese sind weder durch ärztliche Berichte belegt noch wurden sie dem Gesundheitspersonal der Bundeszentren gemeldet. Selbst wenn er an den geltend gemachten Gesundheitsproblemen leidet, kann indessen angenommen werden, dass diese auch in Kroatien behandelt werden können. Das SEM wies zu Recht darauf hin, dass Kroatien über eine ausreichende medizinische Infrastruktur verfügt und verpflichtet ist, ihm die erforderliche medizinische Versorgung zukommen zu lassen. Folglich besteht keine Veranlassung, diesbezüglich weitere Abklärungen vorzunehmen.</w:t>
      </w:r>
    </w:p>
    <w:p>
      <w:r>
        <w:rPr>
          <w:b/>
        </w:rPr>
        <w:t>E. 4.5</w:t>
      </w:r>
    </w:p>
    <w:p>
      <w:r>
        <w:t>Sodann bringt der Beschwerdeführer vor, die Vorinstanz habe die Gefahr, welcher er in Kroatien ausgesetzt sei, nicht individuell geprüft. Sie habe nicht berücksichtigt, dass er in Kroatien physische und psychische Gewalt erlitten habe, wodurch sein Vertrauen in den kroatischen Staat nachhaltig geschädigt worden sei. Auch die Frage einer Kettenabschiebung sei nicht geprüft worden. Die kroatischen Behörden hätten ihm gesagt, er würde nach Burundi zurückgeschickt, obwohl die Zustände dort unmenschlich seien. Er habe grosse Angst, dass sie diese Versprechung wahrmachen und sein Asylgesuch nicht ernsthaft prüfen würden. Schliesslich habe die Vorinstanz den Sachverhalt hinsichtlich der systemischen Schwachstellen in Kroatien nicht ausreichend abgeklärt und entsprechende Berichte verschiedener Organisationen nicht beachtet. Entgegen der Auffassung des Beschwerdeführers hat die Vorinstanz in der angefochtenen Verfügung ausreichend und gestützt auf die geltende Rechtsprechung begründet, weshalb sie eine Überstellung nach Kroatien als zulässig erachtet und davon ausgeht, es gebe keine systemischen Mängel im kroatischen Asylsystem. Allein der Umstand, dass der Beschwerdeführer eine andere Auffassung - namentlich zur Situation von Asylsuchenden im kroatischen Asylsystem - vertritt, begründet noch keine Verletzung von verfahrensrechtlichen Vorschriften. Seine diesbezüglichen Ausführungen tangieren denn auch im Wesentlichen materielle und nicht formelle Aspekte. Schliesslich gibt es auch keine konkreten Anhaltspunkte dafür, dass die kroatischen Behörden - welche dem Übernahmeersuchen der Schweiz ausdrücklich zugestimmt haben - ihn unter Verletzung der entsprechenden völkerrechtlichen Vorschriften unmittelbar nach Burundi zurückschicken würden und ihm somit eine Kettenabschiebung drohte.</w:t>
      </w:r>
    </w:p>
    <w:p>
      <w:r>
        <w:rPr>
          <w:b/>
        </w:rPr>
        <w:t>E. 4.6</w:t>
      </w:r>
    </w:p>
    <w:p>
      <w:r>
        <w:t>Nach dem Gesagten erweisen sich die formellen Rügen als unbegründet, weshalb keine Veranlassung besteht, die angefochtene Verfügung aufzuheben und die Sache an die Vorinstanz zurückzuweisen. Das entsprechende Rechtsbegehren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dabei grundsätzlich keine (erneute) Zuständigkeitsprüfung nach Kapitel III Dublin-III-VO mehr statt (vgl. zum Ganzen BVGE 2017 VI/5 E. 6.2 und 8.2.1).</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EU-Grundrechtecharta mit sich bringen, ist zu prüfen, ob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5.5</w:t>
      </w:r>
    </w:p>
    <w:p>
      <w:r>
        <w:t>Vorliegend ergab ein Abgleich der Fingerabdrücke des Beschwerdeführers mit der Eurodac-Datenbank, dass dieser am 12. Oktober 2022 in Kroatien aufgegriffen wurde und gleichentags ein Asylgesuch gestellt hat (vgl. SEM-Akte [...]-7/1). Zwar behauptet der Beschwerdeführer, er habe in Kroatien nie ein Asylgesuch stellen wollen. Er bestreitet indessen nicht, dass er von der kroatischen Polizei aufgegriffen wurde, seine Fingerabdrücke abgegeben hat und in ein Camp gebracht worden ist (vgl. Akte 14). Es ist nicht ersichtlich, weshalb er in Kroatien als asylsuchende Person erfasst worden sein sollte, wenn er keine entsprechende Äusserung getätigt hätte. Zudem haben sich die kroatischen Behörden bereit erklärt, ihn wiederaufzunehmen (vgl. SEM-Akte [...]-18/2). Es liegt somit eine grundsätzliche Zuständigkeit Kroatiens für die Durchführung des Asylverfahrens vor. Daran ändert auch der Umstand nichts, dass die Zustimmung gestützt auf die Bestimmung von Art. 20 Abs. 5 Dublin-III-VO erfolgte (vgl. Urteil des BVGer E-5839/2022 vom 22. Dezember 2022 E. 6 m.H.).</w:t>
      </w:r>
    </w:p>
    <w:p>
      <w:r>
        <w:rPr>
          <w:b/>
        </w:rPr>
        <w:t>E. 6.1</w:t>
      </w:r>
    </w:p>
    <w:p>
      <w:r>
        <w:t>Nachfolgend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zutreffend dargelegt, dass aktuell, auch unter Würdigung von kritischen Berichten nationaler und internationaler Organisationen bezüglich des kroatischen Asylverfahrens, im Bereich der Wiederaufnahmeverfahren keine Gründe für die Annahme vorliegen, das Asylverfahren und die Aufnahmebedingungen für Antragstellende in Kroatien würden systemische Schwachstellen im Sinn von Art. 3 Abs. 2 Sätze 2 und 3 Dublin-III-VO aufweisen (vgl. dazu etwa Urteile BVGer E-4341/2022 vom 8. Dezember 2022 E. 6.3, D-5623/2022 vom 12. Dezember 2022 E. 6.1 und F-5543/2022 vom 7. Dezember 2022 E. 4).</w:t>
      </w:r>
    </w:p>
    <w:p>
      <w:r>
        <w:rPr>
          <w:b/>
        </w:rPr>
        <w:t>E. 6.1.2</w:t>
      </w:r>
    </w:p>
    <w:p>
      <w:r>
        <w:t>Auch unter Berücksichtigung der vom Beschwerdeführer anlässlich des Dublin-Gesprächs geschilderten Erlebnisse ist nicht davon auszugehen, Kroatien verstosse systematisch gegen seine vertraglichen Verpflichtungen. Die vom Beschwerdeführer für die Zeit seines Aufenthaltes in Kroatien geltend gemachte schlechte Behandlung rechtfertigt es nicht, davon auszugehen, dass er bei einer Rückkehr mit hoher Wahrscheinlichkeit Opfer einer unmenschlichen oder erniedrigenden Behandlung im Sinn von Art. 3 EMRK, Art. 3 FoK oder Art. 4 EU-Grundrechtecharta wird. Bei allfälligem Fehlverhalten einzelner Beamter könnte er sich zudem an die zuständigen kroatischen Stellen wenden. Es ist auch nicht davon auszugehen, dass er bei einer Wegweisung nach Kroatien in eine existenzielle Notlage geraten würde.</w:t>
      </w:r>
    </w:p>
    <w:p>
      <w:r>
        <w:rPr>
          <w:b/>
        </w:rPr>
        <w:t>E. 6.1.3</w:t>
      </w:r>
    </w:p>
    <w:p>
      <w:r>
        <w:t>In der Beschwerde werden des Weiteren die sogenannten Push-backs thematisiert. Wegen dieser Ereignisse sieht sich Kroatien schon seit geraumer Zeit mit Vorwürfen konfrontiert. Wie in der angefochtenen Verfügung zutreffend festgestellt wird (vgl. dort S. 3 f.), stehen solche Ereignisse indessen offensichtlich in Zusammenhang mit illegalen Einreisen nach Kroatien, unter anderem von Bosnien und Herzegowina aus. Sie betreffen demnach die Aussengrenzen Kroatiens zu seinen Nachbarstaaten und die Frage des Zugangs zum Asylverfahren respektive die Möglichkeit, in Kroatien ein Asylverfahren einzuleiten. Dies sagt indessen nichts über die vorliegend interessierende Situation der Rückkehr nach Kroatien nach einer Asylantragstellung aus. Bei einer Rücküberstellung würde der Beschwerdeführer auf legalem Weg in die Hauptstadt Zagreb überstellt. Die Vor-instanz hat eine Einzelfallprüfung vorgenommen und ist unter Verweis auf Abklärungen durch die Schweizer Botschaft in Kroatien zu Recht zum Schluss gekommen, dass Personen, welche im Rahmen eines Wiederaufnahmeverfahrens nach Kroatien zurückgeführt werden, nicht von der problematischen Push-back-Praxis betroffen sind (vgl. Urteil des BVGer E-5787/2022 vom 19. Dezember 2022 E. 7.4 m.w.H.).</w:t>
      </w:r>
    </w:p>
    <w:p>
      <w:r>
        <w:rPr>
          <w:b/>
        </w:rPr>
        <w:t>E. 6.1.4</w:t>
      </w:r>
    </w:p>
    <w:p>
      <w:r>
        <w:t>Vor diesem Hintergrund erweist sich die Anwendung von Art. 3 Abs. 2 Dublin-III-VO als nicht gerechtfertigt.</w:t>
      </w:r>
    </w:p>
    <w:p>
      <w:r>
        <w:rPr>
          <w:b/>
        </w:rPr>
        <w:t>E. 6.2</w:t>
      </w:r>
    </w:p>
    <w:p>
      <w:r>
        <w:t>In Bezug auf den Gesundheitszustand des Beschwerdeführers ist festzuhalten, dass eine zwangsweise Rückweisung von Personen mit gesundheitlichen Problemen nur ganz ausnahmsweise einen Verstoss gegen Art. 3 EMRK darstellt. Dies ist etwa dann der Fall, wenn die betroffene Person sich in einem fortgeschrittenen oder terminalen Krankheitsstadium und bereits in Todesnähe befindet, oder wenn eine schwerkranke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offenkundig nicht gegeben. Der Beschwerdeführer leidet gemäss Akten nicht an gesundheitlichen Beeinträchtigungen von einer Schwere, dass sie die Feststellung der Unzulässigkeit im Sinn der vorgenannten restriktiven Rechtsprechung zu rechtfertigen vermöchten. Im Übrigen verfügt Kroatien über eine ausreichende medizinische Infrastruktur (vgl. Urteil des BVGer D-5299/2022 vom 30. November 2022 E. 7.2 m.H.).</w:t>
      </w:r>
    </w:p>
    <w:p>
      <w:r>
        <w:rPr>
          <w:b/>
        </w:rPr>
        <w:t>E. 6.3</w:t>
      </w:r>
    </w:p>
    <w:p>
      <w:r>
        <w:t>Nach dem Gesagten kann der Beschwerdeführer kein konkretes und ernsthaftes Risiko dartun, dass seine Überstellung nach Kroatien die Verletzung völkerrechtlicher Bestimmungen zur Folge hätte.</w:t>
      </w:r>
    </w:p>
    <w:p>
      <w:r>
        <w:rPr>
          <w:b/>
        </w:rPr>
        <w:t>E. 6.4</w:t>
      </w:r>
    </w:p>
    <w:p>
      <w:r>
        <w:t>An diesen Feststellungen vermag das Vorbringen des Beschwerdeführers, die kroatischen Behörden hätten ihn nicht in einer ihm verständlichen Sprache schriftlich über alle Aspekte des Asylverfahrens informiert (vgl. Beschwerdeschrift, S. 3 f.), nichts zu ändern. Dies dürfte im Übrigen auch damit zu tun haben, dass er sich eigenen Angaben zufolge bereits einen Tag nach der Einleitung des Asylverfahrens entschieden hat, das Camp zu verlassen und weiterzureisen (vgl. Akte 14).</w:t>
      </w:r>
    </w:p>
    <w:p>
      <w:r>
        <w:rPr>
          <w:b/>
        </w:rPr>
        <w:t>E. 6.5</w:t>
      </w:r>
    </w:p>
    <w:p>
      <w:r>
        <w:t>Sodann verfügt die Vorinstanz gemäss Praxis des Bundesverwaltungsgerichts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Es liegen somit keine völkerrechtlichen Vollzugshindernisse vor, welche die Schweiz zum Selbsteintritt verpflichten würden. Ebenso wenig sind Rechtsfehler bei der Ermessensbetätigung durch die Vorinstanz ersichtlich. Es besteht folglich keine Veranlassung für einen Selbsteintritt der Schweiz gemäss Art. 17 Dublin-III-VO. Kroatien bleibt somit zuständiger Mitgliedstaat gemäss Dublin-III-VO.</w:t>
      </w:r>
    </w:p>
    <w:p>
      <w:r>
        <w:rPr>
          <w:b/>
        </w:rPr>
        <w:t>E. 7</w:t>
      </w:r>
    </w:p>
    <w:p>
      <w:r>
        <w:t>Die Vorinstanz ist nach dem Gesagten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8</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9.1</w:t>
      </w:r>
    </w:p>
    <w:p>
      <w:r>
        <w:t>Der am 27. Dezember 2022 superprovisorisch angeordnete Vollzugsstopp fällt mit dem vorliegenden Urteil dahin.</w:t>
      </w:r>
    </w:p>
    <w:p>
      <w:r>
        <w:rPr>
          <w:b/>
        </w:rPr>
        <w:t>E. 9.2</w:t>
      </w:r>
    </w:p>
    <w:p>
      <w:r>
        <w:t>Mit dem Entscheid in der Hauptsache werden auch die Gesuche um Erteilung der aufschiebenden Wirkung und um Verzicht auf die Erhebung eines Kostenvorschusses gegenstandslos.</w:t>
      </w:r>
    </w:p>
    <w:p>
      <w:r>
        <w:rPr>
          <w:b/>
        </w:rPr>
        <w:t>E. 10.1</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