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D-5974/2022 vom 10. Januar 2023</w:t>
      </w:r>
    </w:p>
    <w:p>
      <w:r>
        <w:t>Bundesverwaltungsgericht, 2023-01-10, FR</w:t>
      </w:r>
    </w:p>
    <w:p>
      <w:r>
        <w:rPr>
          <w:b/>
        </w:rPr>
        <w:t xml:space="preserve">Quelle: </w:t>
      </w:r>
      <w:r>
        <w:t>https://mcp.opencaselaw.ch/entscheid/bvger_D-5974_2022</w:t>
      </w:r>
    </w:p>
    <w:p>
      <w:r>
        <w:t>FR: TAF D-5974/2022 du 10 janvier 2023</w:t>
      </w:r>
    </w:p>
    <w:p>
      <w:r>
        <w:t>IT: TAF D-5974/2022 del 10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ch. 1 LTF [RS 173.110]), exception non réalisée en l'espèce. Le Tribunal est donc compétent pour connaître du présent litige. Il statue en dernier ressort.</w:t>
      </w:r>
    </w:p>
    <w:p>
      <w:r>
        <w:rPr>
          <w:b/>
        </w:rPr>
        <w:t>E. 1.2</w:t>
      </w:r>
    </w:p>
    <w:p>
      <w:r>
        <w:t>En matière d'asile, la procédure devant le Tribunal est régie par la PA, à moins que la LAsi ou la LTAF n'en disposent autrement (art. 6 LAsi et 37 LTAF).</w:t>
      </w:r>
    </w:p>
    <w:p>
      <w:r>
        <w:rPr>
          <w:b/>
        </w:rPr>
        <w:t>E. 1.3</w:t>
      </w:r>
    </w:p>
    <w:p>
      <w:r>
        <w:t>A._______ et B._______ ont qualité pour recourir pour eux-mêmes et leurs filles (art. 48 al. 1 PA).</w:t>
      </w:r>
    </w:p>
    <w:p>
      <w:r>
        <w:rPr>
          <w:b/>
        </w:rPr>
        <w:t>E. 1.4</w:t>
      </w:r>
    </w:p>
    <w:p>
      <w:r>
        <w:t>Interjeté dans la forme et le délai prescrits par la loi (art. 52 al. 1 PA, art. 108 al. 3 LAsi), le recours est recevable.</w:t>
      </w:r>
    </w:p>
    <w:p>
      <w:r>
        <w:rPr>
          <w:b/>
        </w:rPr>
        <w:t>E. 1.5</w:t>
      </w:r>
    </w:p>
    <w:p>
      <w:r>
        <w:t>Il est renoncé à un échange d'écritures (art. 111a al. 1 LAsi).</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 Le recourant ne peut, en revanche, faire valoir l'inopportunité de la décision attaquée, ce grief étant soustrait à l'examen du Tribunal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2012/4 consid. 2.2).</w:t>
      </w:r>
    </w:p>
    <w:p>
      <w:r>
        <w:rPr>
          <w:b/>
        </w:rPr>
        <w:t>E. 2.3</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2.4</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ATF 122 V 157 consid. 1a ; 121 V 204 consid. 6c ; Kölz/Häner/Bertschi, Verwaltungsverfahren und Verwaltungsrechtspflege des Bundes, 3ème éd., 2013, p. 398 ch. 1136).</w:t>
      </w:r>
    </w:p>
    <w:p>
      <w:r>
        <w:rPr>
          <w:b/>
        </w:rPr>
        <w:t>E. 3</w:t>
      </w:r>
    </w:p>
    <w:p>
      <w:r>
        <w:t>Les recourants mentionnent dans leur recours qu'ils ont été très mal nourris et logés en Italie, que leurs filles sont « toujours très malades » et qu'eux-mêmes ont « des suivis psychiatriques ici en Suisse ». Ils font en outre valoir qu'ils vont mourir s'ils retournent en Italie et que le SEM a violé le règlement Dublin III. Partant, ils demandent à titre principal que le SEM entre en matière sur leurs demandes d'asile. Comme conclusion subsidiaire, ils exigent le renvoi de la cause au SEM sans en mentionner les raisons. Ils ne font en particulier valoir aucun grief formel, comme par exemple une violation du droit d'être entendu ou encore un établissement incorrect et/ou incomplet de l'état de fait pertinent. Le dossier ne contenant aucun indice de vice formel, la conclusion sur le renvoi de la cause au SEM doit être rejetée.</w:t>
      </w:r>
    </w:p>
    <w:p>
      <w:r>
        <w:rPr>
          <w:b/>
        </w:rPr>
        <w:t>E. 4</w:t>
      </w:r>
    </w:p>
    <w:p>
      <w:r>
        <w:t>Il y a lieu à ce stade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4.1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RD III).</w:t>
      </w:r>
    </w:p>
    <w:p>
      <w:r>
        <w:rPr>
          <w:b/>
        </w:rPr>
        <w:t>E. 4.2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4.3</w:t>
      </w:r>
    </w:p>
    <w:p>
      <w:r>
        <w:t>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du règlement Dublin III ; sur ces questions, cf. ATAF 2017 VI/7 consid. 2.1 ; 2017 VI/5 consid. 6.2).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4.4</w:t>
      </w:r>
    </w:p>
    <w:p>
      <w:r>
        <w:t>Dans le cas d'espèce, le SEM a, du fait de l'enregistrement de l'entrée illégale en Italie des intéressés, le 24 août 2022, formulé, le 23 septembre 2022 (soit dans les délais fixés à l'art. 21 par. 1 du règlement Dublin III), une demande de prise en charge fondée sur l'art. 13 par. 1 du règlement Dublin III auprès des autorités italiennes. L'Italie a ensuite, en conformité de l'art. 13 par. 1 du règlement Dublin III, accepté cette demande pour les quatre membres de la famille dans un courrier du 23 novembre 2022, intitulé « nucleo familiare », lequel précise le lien de parenté des intéressés, soit père, mère et filles.</w:t>
      </w:r>
    </w:p>
    <w:p>
      <w:r>
        <w:rPr>
          <w:b/>
        </w:rPr>
        <w:t>E. 4.5</w:t>
      </w:r>
    </w:p>
    <w:p>
      <w:r>
        <w:t>Il s'ensuit que la responsabilité de l'Italie, au sens du règlement Dublin III, est acquise, point qui n'est d'ailleurs pas contesté.</w:t>
      </w:r>
    </w:p>
    <w:p>
      <w:r>
        <w:rPr>
          <w:b/>
        </w:rPr>
        <w:t>E. 5</w:t>
      </w:r>
    </w:p>
    <w:p>
      <w:r>
        <w:t>Les recourants s'opposent à leur transfert en Italie, soutenant que le système d'asile dans ce pays, et notamment l'accueil des requérants d'asile, présente de graves dysfonctionnements, motif pris qu'ils ont « été logés dans un endroit miteux ressemblant aux toilettes », sans rien à manger ni à boire. Ils font de plus valoir des problèmes de santé des quatre membres de la famille (cf. recours p. 2). Il convient dès lors d'examiner, à la teneur de l'art. 3 par. 2 du règlement Dublin III,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5.1</w:t>
      </w:r>
    </w:p>
    <w:p>
      <w:r>
        <w:t>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w:t>
      </w:r>
    </w:p>
    <w:p>
      <w:r>
        <w:rPr>
          <w:b/>
        </w:rPr>
        <w:t>E. 5.2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5.3</w:t>
      </w:r>
    </w:p>
    <w:p>
      <w:r>
        <w:t>Confirmant sa jurisprudence antérieure, le Tribunal admet que l'application de l'art. 3 par. 2 du RD III ne se justifie pas, quand bien même la procédure d'asile et le dispositif d'accueil et d'assistance sociale en Italie souffrent de certaines carences (cf. notamment arrêt du Tribunal E-2409/2022 du 4 octobre 2022 consid. 4.3.2).</w:t>
      </w:r>
    </w:p>
    <w:p>
      <w:r>
        <w:rPr>
          <w:b/>
        </w:rPr>
        <w:t>E. 5.4</w:t>
      </w:r>
    </w:p>
    <w:p>
      <w:r>
        <w:t>Il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(cf. arrêts du Tribunal E-962/2019 précité consid. 7.4.2 s ; F-1522/2021 du 22 septembre 2021 consid. 5.1 ss). Le Tribunal a récemment actualisé sa jurisprudence sur les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 Il n'est en conséquence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comme c'est ici le cas des recourants (procédure de prise en charge, « take charge » ; cf. arrêt du Tribunal D-4235/2021 du 19 avril 2022 [destiné à publication comme arrêt de référence] consid. 10.4.3.2 s. ; arrêts F-2034/2022 du 23 mai 2022 consid. 9.4 ; F-4471/2021 du 4 mai 2022 consid. 6.4). En tout état de cause, il faut relever que les affections mentionnées dans les rapports médicaux produits, soit la gale (avec une surinfection nécessitant des antibiotiques pour une des filles) et les problèmes psychiques en amélioration de B._______, peuvent être traités avec des médicaments courants, également disponibles en Italie. Pour le surplus, aucun document médical versé au dossier ne fait état d'un suivi psychiatrique du mari A._______, contrairement aux indications du mémoire de recours.</w:t>
      </w:r>
    </w:p>
    <w:p>
      <w:r>
        <w:rPr>
          <w:b/>
        </w:rPr>
        <w:t>E. 5.5</w:t>
      </w:r>
    </w:p>
    <w:p>
      <w:r>
        <w:t>Enfin, selon la jurisprudence applicable (cf. arrêt F-6330/2020 du 18 octobre 2021, publié comme arrêt de référence), les garanties fournies par les autorités italiennes, s'agissant du maintien de l'unité familiale et de l'accès à des logements adaptés aux familles, sont suffisamment spécifiques et individualisées, notamment par la transmission du formulaire « nucleo familiare », comme c'est le cas en l'occurrence, ainsi que sur la base des circulaires italiennes des 8 février et 23 mars 2021, qui confirmaient l'accès à une structure de second accueil du système SAI (Sistema di accoglienza e integrazione).</w:t>
      </w:r>
    </w:p>
    <w:p>
      <w:r>
        <w:rPr>
          <w:b/>
        </w:rPr>
        <w:t>E. 5.6</w:t>
      </w:r>
    </w:p>
    <w:p>
      <w:r>
        <w:t>Au vu de ce qui précède, ni l'état de santé des recourants ni leur situation familiale ne justifient l'application de l'art. 3 par. 2 du règlement Dublin III en l'espèce.</w:t>
      </w:r>
    </w:p>
    <w:p>
      <w:r>
        <w:rPr>
          <w:b/>
        </w:rPr>
        <w:t>E. 5.7.1</w:t>
      </w:r>
    </w:p>
    <w:p>
      <w:r>
        <w:t>Selon la jurisprudence de la CourEDH (cf. arrêt de la Grande Chambre de la CourEDH N. contre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5.7.2</w:t>
      </w:r>
    </w:p>
    <w:p>
      <w:r>
        <w:t>Cette jurisprudence a été précisée par la suite, en ce sens qu'un tel cas exceptionnel peut aussi être reconnu lorsqu'il existe des motifs sérieux de penser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Grande Chambre de la CourEDH Paposhvili c. Belgique du 13 décembre 2016, requête n° 41738/10, par. 183).</w:t>
      </w:r>
    </w:p>
    <w:p>
      <w:r>
        <w:rPr>
          <w:b/>
        </w:rPr>
        <w:t>E. 5.7.3</w:t>
      </w:r>
    </w:p>
    <w:p>
      <w:r>
        <w:t>En l'occurrence, les atteintes à la santé, dont souffrent les recourants, pourront être prises en charge sans difficultés en Italie,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5.7.4</w:t>
      </w:r>
    </w:p>
    <w:p>
      <w:r>
        <w:t>Ainsi que le mentionne la décision attaquée, l'autorité suisse chargée de l'exécution du transfert transmettra aux autorités italiennes les renseignements médicaux éventuellement actualisés permettant une prise en charge adéquate des intéressés, en application des art. 31 et 32 RD III (cf. notamment arrêt du Tribunal F-1890/2020 consid. 5.3 et réf. cit.) ; les recourants ont en effet donné leur accord, le 22 septembre 2022, à la transmission des informations médicales les concernant.</w:t>
      </w:r>
    </w:p>
    <w:p>
      <w:r>
        <w:rPr>
          <w:b/>
        </w:rPr>
        <w:t>E. 6</w:t>
      </w:r>
    </w:p>
    <w:p>
      <w:r>
        <w:t>A teneur de l'art. 17 par. 1 RD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8.1 ; 2010/45 consid. 7.2).</w:t>
      </w:r>
    </w:p>
    <w:p>
      <w:r>
        <w:rPr>
          <w:b/>
        </w:rPr>
        <w:t>E. 6.2</w:t>
      </w:r>
    </w:p>
    <w:p>
      <w:r>
        <w:t>Le transfert peut soulever un problème au regard de l'art. 3 CEDH et de l'art. 3 Conv. torture, lorsqu'il y a des motifs suffisants de penser que l'intéressé court dans l'Etat de destination un risque réel d'être soumis à la torture ou à un traitement inhumain ou dégradant au sens de ces dispositions (cf. arrêt de la CourEDH Saadi c. Italie du 28 février 2008, n° 37201/06, § 125 ss et la jurisprudence citée). Il appartient au requérant d'asile de produire des éléments démontrant l'existence d'un tel risque (cf. ATAF 2010/45 consid. 7.4.1).</w:t>
      </w:r>
    </w:p>
    <w:p>
      <w:r>
        <w:rPr>
          <w:b/>
        </w:rPr>
        <w:t>E. 6.3</w:t>
      </w:r>
    </w:p>
    <w:p>
      <w:r>
        <w:t>En l'espèce, le dossier ne comporte aucun indice sérieux, selon lequel les recourants pourraient courir en Italie un risque réel d'être soumis à la torture ou à un traitement inhumain ou dégradant.</w:t>
      </w:r>
    </w:p>
    <w:p>
      <w:r>
        <w:rPr>
          <w:b/>
        </w:rPr>
        <w:t>E. 6.4</w:t>
      </w:r>
    </w:p>
    <w:p>
      <w:r>
        <w:t>Au vu de ce qui précède, le transfert des recourants n'est pas contraire aux engagements de la Suisse découlant du droit international public. Le SEM n'était donc pas tenu de renoncer à cette mesure et d'examiner lui-même la demande d'asile de l'intéressé en application de l'art. 17 par. 1 du règlement Dublin III.</w:t>
      </w:r>
    </w:p>
    <w:p>
      <w:r>
        <w:rPr>
          <w:b/>
        </w:rPr>
        <w:t>E. 7.1</w:t>
      </w:r>
    </w:p>
    <w:p>
      <w:r>
        <w:t>Le SEM peut décider de traiter une demande d'asile pour des raisons humanitaires - alors qu'un autre Etat membre est responsable de son examen - sur la base de l'art. 29a al. 3 OA 1 combiné avec l'art. 17 par. 1 du règlement Dublin III (cf. ATAF 2015/9 consid. 7.6 et 8.2.2 ; 2011/9 consid. 4.1; arrêt du Tribunal E-641/2014 du 13 mars 2015 consid. 5.3 [non publié dans ATAF 2015/9]).</w:t>
      </w:r>
    </w:p>
    <w:p>
      <w:r>
        <w:rPr>
          <w:b/>
        </w:rPr>
        <w:t>E. 7.2</w:t>
      </w:r>
    </w:p>
    <w:p>
      <w:r>
        <w:t>Dans ce cadre, l'autorité de première instance dispose d'un réel pouvoir d'appréciation dans l'interprétation de la notion de raisons humanitaires et l'application restrictive de l'art. 29a al. 3 OA 1 aux différents cas d'espèce (cf. ATAF 2015/9 consid. 7.5 et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leur éventuel transfert en Italie, les recourants ont pu exposer, notamment lors de leurs entretiens Dublin du 22 septembre 2022, les raisons pour lesquelles ils s'opposaient à cette mesure. Il ressort de la décision contestée que le SEM a établi de manière complète et exacte l'état de fait pertinent, en tenant compte notamment des prises de position des intéressés, et n'a commis ni excès ni abus de son large pouvoir d'appréciation en niant sur cette base l'existence de raisons humanitaires au sens de l'art. 29a al. 3 OA 1. En outre, il a dûment motivé sa décision et a respecté le droit d'être entendu des recourants ainsi que les principes constitutionnels applicables. Pour le surplus et à supposer que cela puisse se révéler pertinent dans le cadre du pouvoir d'examen limité dont dispose le Tribunal dans ce domaine, les intéressés n'ont pas démontré, en instance de recours, l'existence de circonstances nouvelles pouvant relever de l'art. 29a al. 3 OA 1.</w:t>
      </w:r>
    </w:p>
    <w:p>
      <w:r>
        <w:rPr>
          <w:b/>
        </w:rPr>
        <w:t>E. 7.4</w:t>
      </w:r>
    </w:p>
    <w:p>
      <w:r>
        <w:t>Partant, la clause de souveraineté (art. 17 par. 1 RD III) ne trouve pas non plus application pour des raisons humanitaires.</w:t>
      </w:r>
    </w:p>
    <w:p>
      <w:r>
        <w:rPr>
          <w:b/>
        </w:rPr>
        <w:t>E. 8</w:t>
      </w:r>
    </w:p>
    <w:p>
      <w:r>
        <w:t>En conséquence, l'autorité inférieure n'est à bon droit pas entrée en matière sur les demandes d'asile du 6 septembre 2022 (art. 31a al. 1 let. b LAsi) et a prononcé le transfert des recourants vers l'Italie en application de l'art. 44 1ère phrase LAsi, aucune exception à la règle générale du renvoi n'étant réalisée (art. 32 OA 1).</w:t>
      </w:r>
    </w:p>
    <w:p>
      <w:r>
        <w:rPr>
          <w:b/>
        </w:rPr>
        <w:t>E. 9</w:t>
      </w:r>
    </w:p>
    <w:p>
      <w:r>
        <w:t>En conclusion, le recours est rejeté et la décision attaquée confirmée. S'avérant manifestement infondé, celui-ci l'est dans une procédure à juge unique, avec l'approbation d'un second juge (art. 111 let. e LAsi).</w:t>
      </w:r>
    </w:p>
    <w:p>
      <w:r>
        <w:rPr>
          <w:b/>
        </w:rPr>
        <w:t>E. 10</w:t>
      </w:r>
    </w:p>
    <w:p>
      <w:r>
        <w:t>Dans la mesure où il a été immédiatement statué sur le fond, la requête tendant à l'octroi de l'effet suspensif est sans objet, les mesures superprovisionnelles prononcées, le 27 décembre 2022, devenant caduques par le présent prononcé.</w:t>
      </w:r>
    </w:p>
    <w:p>
      <w:r>
        <w:rPr>
          <w:b/>
        </w:rPr>
        <w:t>E. 11</w:t>
      </w:r>
    </w:p>
    <w:p>
      <w:r>
        <w:t>Vu le présent arrêt, la demande tendant à l'exemption du versement d'une avance de frais (art. 63 al. 4 PA) est devenue sans objet.</w:t>
      </w:r>
    </w:p>
    <w:p>
      <w:r>
        <w:rPr>
          <w:b/>
        </w:rPr>
        <w:t>E. 12</w:t>
      </w:r>
    </w:p>
    <w:p>
      <w:r>
        <w:t>Les conclusions du recours étant d'emblée vouées à l'échec, il y a lieu de rejeter la demande d'assistance judiciaire totale et de mettre les frais de procédure d'un montant de 750 francs à la charge des recourants, conformément aux art. 63 al. 1 PA,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