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D-5970/2019 vom 18. November 2019</w:t>
      </w:r>
    </w:p>
    <w:p>
      <w:r>
        <w:t>Bundesverwaltungsgericht, 2019-11-18, DE</w:t>
      </w:r>
    </w:p>
    <w:p>
      <w:r>
        <w:rPr>
          <w:b/>
        </w:rPr>
        <w:t xml:space="preserve">Quelle: </w:t>
      </w:r>
      <w:r>
        <w:t>https://mcp.opencaselaw.ch/entscheid/bvger_D-5970_2019</w:t>
      </w:r>
    </w:p>
    <w:p>
      <w:r>
        <w:t>FR: TAF D-5970/2019 du 18 novembre 2019</w:t>
      </w:r>
    </w:p>
    <w:p>
      <w:r>
        <w:t>IT: TAF D-5970/2019 del 18 novembre 2019</w:t>
      </w:r>
    </w:p>
    <w:p>
      <w:pPr>
        <w:pStyle w:val="Heading2"/>
      </w:pPr>
      <w:r>
        <w:t>Regeste</w:t>
      </w:r>
    </w:p>
    <w:p>
      <w:r>
        <w:t>Flughafenverfahren (Asyl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w:t>
      </w:r>
    </w:p>
    <w:p>
      <w:r>
        <w:t>In Ziff. 4 der Rechtsbegehren wird seitens des Beschwerdeführers beantragt, die Sache sei subeventualiter zwecks vollständiger Abklärung des Sachverhalts an die Vorinstanz zurückzuweisen. Der Beschwerdeschrift ist indessen keine Begründung dieses Antrags zu entnehmen; insbesondere wird nicht ausgeführt, inwiefern der rechtserhebliche Sachverhalt von der Vorinstanz unvollständig festgestellt worden sei respektive welche weiteren Abklärungen vorgenommen werden müssten. Da auch von Amtes wegen keine relevanten Mängel in der Sachverhaltsermittlung festgestellt werden können, der Sachverhalt vielmehr spruchreif erscheint, besteht keine Veranlassung, die angefochtene Verfügung zwecks Vornahme von weiteren Abklärungen zu kassieren. Der entsprechende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Im vorliegenden Fall kommt das Gericht zum Schluss, dass die Vorinstanz zu Recht die Flüchtlingseigenschaft des Beschwerdeführers verneint und das Asylgesuch abgelehnt hat.</w:t>
      </w:r>
    </w:p>
    <w:p>
      <w:r>
        <w:rPr>
          <w:b/>
        </w:rPr>
        <w:t>E. 6.1</w:t>
      </w:r>
    </w:p>
    <w:p>
      <w:r>
        <w:t>Aufgrund der Aktenlage ist nicht auszuschliessen, dass es zwischen der Familie des Beschwerdeführers und derjenigen von M. vor rund 20 Jahren zu einer Auseinandersetzung mit Todesfolge gekommen ist. Gleichzeitig ist jedoch davon auszugehen, dass dieser Streit damals beigelegt wurde, und zwar mit einer «Stammesversöhnung», allenfalls ist es sogar zu einer Verurteilung des Vaters des Beschwerdeführers gekommen (vgl. A16 F14).</w:t>
      </w:r>
    </w:p>
    <w:p>
      <w:r>
        <w:rPr>
          <w:b/>
        </w:rPr>
        <w:t>E. 6.2</w:t>
      </w:r>
    </w:p>
    <w:p>
      <w:r>
        <w:t>Der Beschwerdeführer macht geltend, er habe aus seinem Heimatland fliehen müssen, weil die Blutfehde wieder aufgeflammt sei und er um sein Leben habe fürchten müssen. Diesbezüglich ist zunächst zu bemerken, dass die geltend gemachte Verfolgung (respektive befürchtete Verfolgung) offensichtlich von privaten Drittpersonen ausgeht. Gleichzeitig kann von der grundsätzlich bestehenden Schutzfähigkeit - und willigkeit der kurdischen Behörden in der ARK ausgegangen werden (vgl. dazu BVGE 2008/4). Der Beschwerdeführer hat zudem nicht in nachvollziehbarer Weise dargelegt, dass er (beziehungsweise seine Familie) die zuständigen Behörden vergeblich um Schutz nachgesucht hat; vielmehr machte er hinsichtlich der Frage, ob Anzeige erstattet worden sei oder nicht, widersprüchliche Angaben (vgl. dazu A12 S. 15, A16 F54, A16 F70). Der Einwand in der Beschwerde, wonach es in diesem Punkt wohl ein Missverständnis gegeben habe, überzeugt nicht, zumal dem Beschwerdeführer die protokollierten Aussagen rückübersetzt wurden und er keine Korrekturen vornahm. Sodann stellt der blosse Einwand, eine Anzeige wäre ohnehin erfolglos, weil die andere Familie der PUK nahestehe, kein ausreichendes Indiz für einen im konkreten Fall allenfalls fehlenden Schutzwillen der zuständigen Strafverfolgungsbehörde dar. Aus diesen Gründen ist bereits die Asylrelevanz der Asylvorbringen zu verneinen.</w:t>
      </w:r>
    </w:p>
    <w:p>
      <w:r>
        <w:rPr>
          <w:b/>
        </w:rPr>
        <w:t>E. 6.3</w:t>
      </w:r>
    </w:p>
    <w:p>
      <w:r>
        <w:t>Ausserdem ist das angebliche Wiederaufflammen der Blutfehde und die damit einhergehende Lebensbedrohung des Beschwerdeführers ohnehin als unglaubhaft zu qualifizieren. Zunächst ist in diesem Zusammenhang festzustellen, dass sich der Beschwerdeführer in Bezug auf die Frage, wo er die letzten 20 Jahre gewohnt habe, widersprochen hat. Unter Ziff. 2.01 der BzP erklärte er ausdrücklich, er sei an der angegebenen Adresse geboren worden und habe nie woanders gelebt. Er habe bis am 27.9.2019 dort gewohnt, das Haus gehöre dem Vater. Andernorts (vgl. A12 S. 18, A16 F18, F27) sowie auch in der Beschwerde wird hingegen vorgebracht, seine Familie sei ständig umgezogen. Der Beschwerdeführer versuchte diesen Widerspruch damit zu erklären, dass er bei der ersten Aussage habe sagen wollen, er habe immer im Grossraum von C._______ gelebt. Diese Erklärung vermag jedoch nicht zu überzeugen, zumal es auch nicht plausibel erscheint, dass die Familie des Beschwerdeführers zwar angeblich aus Angst vor der Familie von M. ständig umgezogen ist, jedoch nur innerhalb von C._______. Wenn sie sich tatsächlich bedroht gefühlt hätte, dann wäre sie wohl aus C._______ weggezogen, da es für die andere Familie mit Sicherheit ein Leichtes gewesen wäre, ihren Aufenthaltsort in dieser kleinen Stadt ausfindig zu machen. Es ist sodann auch nicht nachvollziehbar, weshalb sich die Familie des Beschwerdeführers fortwährend vor der anderen Familie gefürchtet hat; denn offenbar ist während rund 20 Jahren nichts Konkretes geschehen, und der Beschwerdeführer erklärte sogar, er habe nie jemanden von dieser Familie persönlich getroffen (vgl. A16 F61). Im Weiteren ist festzustellen, dass es aufgrund der Aktenlage keinerlei konkrete und objektive Hinweise dafür gibt, dass tatsächlich die Angehörigen von M. hinter den vom Beschwerdeführer geschilderten Vorfällen (Verbrennen der Ernte, Schwefelsäureanschlag auf das Auto, Schüsse auf das Haus) standen. Der Beschwerdeführer hat die Täter offenbar nicht gesehen und äussert diesbezüglich nur Vermutungen. Er räumte zudem selber ein, dass beispielsweise auch die Felder von anderen Bauern verbrannt worden seien (vgl. A16 F51). Der Beschwerdeführer war sodann auch nicht in der Lage plausibel zu erklären, weshalb nur er und nicht auch sein Vater im Visier der anderen Familie stehe, obwohl das Ziel der anderen Familie angeblich die Zerstörung seiner Familie sei (vgl. A16 F98). Seine Erklärung, sein Vater sei nicht in Gefahr, weil er krank sei (vgl. A16 F72), überzeugt nicht, zumal der Vater offensichtlich trotz seiner Krankheit in der Lage ist, sich um die Familie zu kümmern (vgl. A12 S. 13), und sein vorzeitiger Tod für die Familie demnach sehr wohl ein herber Verlust darstellen würde. Die vom Beschwerdeführer geltend gemachte persönliche Bedrohungslage ist ferner auch deshalb unglaubhaft, weil aufgrund der vom Beschwerdeführer geschilderten Sachlage davon ausgegangen werden kann, dass die Familie von M. während Jahren ausreichend Gelegenheit gehabt hätte, ihn zu töten. Falls dies tatsächlich ihre Absicht gewesen wäre, hätte sie ihn zudem wohl kaum mit Brandstiftung, Schwefelsäureattacken auf sein Auto, SMS-Drohungen und Schüssen auf das Haus vorgewarnt respektive in die Flucht geschlagen; ein derartiges Vorgehen erscheint völlig realitätsfremd. Die eingereichten Beweismittel (Fotos des Hauses mit Einschusslöchern, Screenshot von zwei SMS-Nachrichten) sind im Übrigen auch nicht geeignet, die geltend gemachte, aktuelle Bedrohung durch die Familie von M. glaubhaft zu machen. Die Urheber der angeblich empfangenen Droh-SMS können vom Gericht nicht identifiziert werden, es könnte sich dabei ohne weiteres auch um aus Gefälligkeit verfasste Nachrichten von einer dem Beschwerdeführer nahestehenden Person handeln. Die auf den Fotos ersichtlichen Einschusslöcher in einem Haus können sodann auch unter anderen als den vom Beschwerdeführer dargelegten Umständen entstanden sein. Nach dem Gesagten ist es nicht glaubhaft, dass der Beschwerdeführer befürchten musste, von der Familie von M. getötet zu werden und deshalb aus dem Irak geflüchtet ist.</w:t>
      </w:r>
    </w:p>
    <w:p>
      <w:r>
        <w:rPr>
          <w:b/>
        </w:rPr>
        <w:t>E. 6.4</w:t>
      </w:r>
    </w:p>
    <w:p>
      <w:r>
        <w:t>Insgesamt hat die Vorinstanz zu Recht die Flüchtlingseigenschaft des Beschwerdeführers verneint und sein Asylgesuch abgelehnt. Es erübrigt sich auf die weiteren Ausführungen in der Beschwerde näher einzugehen, da sie an dieser Einschätzung nichts zu ändern vermögen.</w:t>
      </w:r>
    </w:p>
    <w:p>
      <w:r>
        <w:rPr>
          <w:b/>
        </w:rPr>
        <w:t>E. 7.1</w:t>
      </w:r>
    </w:p>
    <w:p>
      <w:r>
        <w:t>Lehnt das SEM das Asylgesuch ab oder tritt es darauf nicht ein, so verfügt es in der Regel die Wegweisung aus der Schweiz beziehungsweise aus dem Transitbereich des Flughafens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im Asylpunkt nicht gelungen. Auch die allgemeine Menschenrechtssituation im Irak lässt den Wegweisungsvollzug zum heutigen Zeitpunkt nicht als unzulässig erscheinen.</w:t>
      </w:r>
    </w:p>
    <w:p>
      <w:r>
        <w:rPr>
          <w:b/>
        </w:rPr>
        <w:t>E. 8.1.3</w:t>
      </w:r>
    </w:p>
    <w:p>
      <w:r>
        <w:t>Der Vollzug der Wegweisung ist damit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Im Urteil E-3737/2015 vom 14. Dezember 2015 (als Referenzurteil publiziert) stellte das Bundesverwaltungsgericht fest, dass in den vier Provinzen der ARK (das Gebiet wird seit Anfang 2015 durch die Provinzen Dohuk, Erbil, Suleimaniya sowie Halabja gebildet) nach wie vor nicht von einer Situation allgemeiner Gewalt auszugehen ist und keine konkreten Anhaltspunkte für die Annahme vorliegen, dies werde sich in absehbarer Zeit massgeblich verändern (ursprünglich statt vieler BVGE 2008/5). Diese Einschätzung hat nach wie vor Gültigkeit. Die langjährige Praxis im Sinne von BVGE 2008/5 für aus dem ARK-Gebiet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So setzt die Anordnung des Wegweisungsvollzugs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8.2.2</w:t>
      </w:r>
    </w:p>
    <w:p>
      <w:r>
        <w:t>Entgegen der in der Beschwerde vertretenen Auffassung liegen im vorliegenden Fall durchaus begünstigende individuelle Faktoren vor: Beim Beschwerdeführer handelt es sich um einen knapp (...)-jährigen ledigen Mann, welcher bis zur Ausreise im Oktober 2019 in C._______ (Provinz Suleimaniya, ARK) gelebt hat, über eine durchschnittliche Schulbildung verfügt und vor der Ausreise in verschiedenen Branchen (Gastgewerbe, Baustellen, Landwirtschaft) erwerbstätig war. Mangels anderweitiger konkreter Hinweise kann davon ausgegangen werden, dass er nach der Rückkehr in die ARK wirtschaftlich erneut wird Fuss fassen können, zumal er am Herkunftsort über zahlreiche Angehörige verfügt (Eltern, [teils verheiratete] Geschwister, Onkel, Tanten), welche ihm bei Bedarf bei der Reintegration behilflich sein können. Die geltend gemachten Krankheiten seiner Angehörigen (Krebs, Rückenschmerzen, Asthma) vermögen an dieser Einschätzung nichts zu ändern; im Übrigen ist festzustellen, dass der Vater des Beschwerdeführers offenbar trotz seiner (behandelten) Krebserkrankung in der Lage ist, sich um die Familie zu kümmern (vgl. A12 S. 13). Im Weiteren kann auch die voraussichtliche Wohnsituation des Beschwerdeführers in C._______ als gesichert erachtet werden, hat er doch vor der Ausreise zusammen mit seiner Familie in einem im Eigentum des Vaters stehenden Haus gewohnt, in welches er zweifellos zurückkehren kann. Die Asthmaerkrankung des Beschwerdeführers steht der Zumutbarkeit des Vollzugs der Wegweisung in die ARK sodann ebenfalls nicht entgegen, da diese Krankheit dort adäquat behandelt werden kann (respektive bereits behandelt wurde).</w:t>
      </w:r>
    </w:p>
    <w:p>
      <w:r>
        <w:rPr>
          <w:b/>
        </w:rPr>
        <w:t>E. 8.2.3</w:t>
      </w:r>
    </w:p>
    <w:p>
      <w:r>
        <w:t>Insgesamt ist der Vollzug der Wegweisung des Beschwerdeführers in die ARK sowohl in genereller als auch in individueller Hinsicht als zumutbar zu erachten.</w:t>
      </w:r>
    </w:p>
    <w:p>
      <w:r>
        <w:rPr>
          <w:b/>
        </w:rPr>
        <w:t>E. 8.3</w:t>
      </w:r>
    </w:p>
    <w:p>
      <w:r>
        <w:t>Schliesslich ist festzuhalten, dass der Beschwerdeführer über einen irakischen Reisepass verfügt, welcher durch die Vorinstanz sichergestellt wurde, weshalb der Vollzug der Wegweisung auch als möglich zu bezeichnen ist (Art. 83 Abs. 2 AIG).</w:t>
      </w:r>
    </w:p>
    <w:p>
      <w:r>
        <w:rPr>
          <w:b/>
        </w:rPr>
        <w:t>E. 8.4</w:t>
      </w:r>
    </w:p>
    <w:p>
      <w:r>
        <w:t>Die Vorinstanz hat den Vollzug der Wegweisung demnach zu Recht als zulässig, zumutbar und möglich erachtet. Damit fällt die Anordnung einer vorläufigen Aufnahme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Angesichts des vorliegenden direkten Entscheids in der Hauptsache sind die Anträge auf vorsorgliche Bewilligung der Einreise in die Schweiz und Verzicht auf die Erhebung eines Kostenvorschusses gegenstandslos geworden.</w:t>
      </w:r>
    </w:p>
    <w:p>
      <w:r>
        <w:rPr>
          <w:b/>
        </w:rPr>
        <w:t>E. 10.2</w:t>
      </w:r>
    </w:p>
    <w:p>
      <w:r>
        <w:t>Das in der Beschwerde gestellte Gesuch um Gewährung der unentgeltlichen Prozessführung gemäss Art. 65 Abs. 1 VwVG ist ungeachtet der geltend gemachten prozessualen Bedürftigkeit abzuweisen, da sich die Begehren gemäss den vorstehenden Ausführungen als aussichtslos erwiesen haben.</w:t>
      </w:r>
    </w:p>
    <w:p>
      <w:r>
        <w:rPr>
          <w:b/>
        </w:rPr>
        <w:t>E. 10.3</w:t>
      </w:r>
    </w:p>
    <w:p>
      <w:r>
        <w:t>Bei diesem Ausgang des Verfahrens sind dessen Kosten somit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