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D-5959/2011 vom 26. November 2013</w:t>
      </w:r>
    </w:p>
    <w:p>
      <w:r>
        <w:t>Bundesverwaltungsgericht, 2013-11-26, DE</w:t>
      </w:r>
    </w:p>
    <w:p>
      <w:r>
        <w:rPr>
          <w:b/>
        </w:rPr>
        <w:t xml:space="preserve">Quelle: </w:t>
      </w:r>
      <w:r>
        <w:t>https://mcp.opencaselaw.ch/entscheid/bvger_D-5959_2011</w:t>
      </w:r>
    </w:p>
    <w:p>
      <w:r>
        <w:t>FR: TAF D-5959/2011 du 26 novembre 2013</w:t>
      </w:r>
    </w:p>
    <w:p>
      <w:r>
        <w:t>IT: TAF D-5959/2011 del 26 novembre 2013</w:t>
      </w:r>
    </w:p>
    <w:p>
      <w:pPr>
        <w:pStyle w:val="Heading2"/>
      </w:pPr>
      <w:r>
        <w:t>Regeste</w:t>
      </w:r>
    </w:p>
    <w:p>
      <w:r>
        <w:t>Aufhebung vorläufige Aufnahme (Asyl)</w:t>
      </w:r>
    </w:p>
    <w:p>
      <w:pPr>
        <w:pStyle w:val="Heading2"/>
      </w:pPr>
      <w:r>
        <w:t>Erwägungen</w:t>
      </w:r>
    </w:p>
    <w:p>
      <w:r>
        <w:rPr>
          <w:b/>
        </w:rPr>
        <w:t>E. 2</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des Bundesgerichtsgesetzes vom 17. Juni 2005 [BGG, SR 173.110]).</w:t>
      </w:r>
    </w:p>
    <w:p>
      <w:r>
        <w:rPr>
          <w:b/>
        </w:rPr>
        <w:t>E. 2.1</w:t>
      </w:r>
    </w:p>
    <w:p>
      <w:r>
        <w:t>Die Beschwerde ist frist- und formgerecht eingereicht (Art. 108 Abs. 1 AsylG; Art. 105 AsylG i.V.m. Art. 37 VGG und Art. 52 Abs. 1 VwVG). Der Beschwerdeführer hat am Verfahren vor der Vorinstanz teilgenommen, ist durch die angefochtenen Verfügungen besonders berührt und hat ein schutzwürdiges Interesse an deren Aufhebung beziehungsweise Änderung. Er ist daher zur Einreichung der Beschwerde legitimiert (Art. 105 AsylG i.V.m. Art. 37 VGG und Art. 48 Abs. 1 VwVG). Auf die Beschwerde ist einzutreten.</w:t>
      </w:r>
    </w:p>
    <w:p>
      <w:r>
        <w:rPr>
          <w:b/>
        </w:rPr>
        <w:t>E. 2.2</w:t>
      </w:r>
    </w:p>
    <w:p>
      <w:r>
        <w:t>Die Beschwerde ist im Verfahren einzelrichterlicher Zuständigkeit mit Zustimmung eines zweiten Richters oder einer zweiten Richterin zu behandeln, da sie sich im Ergebnis als offensichtlich begründet erweist (Art. 111 Bst. e AsylG).</w:t>
      </w:r>
    </w:p>
    <w:p>
      <w:r>
        <w:rPr>
          <w:b/>
        </w:rPr>
        <w:t>E. 3.1</w:t>
      </w:r>
    </w:p>
    <w:p>
      <w:r>
        <w:t>Mit Beschwerde kann die Verletzung von Bundesrecht, die unrichtige oder unvollständige Feststellung des rechtserheblichen Sachverhalts und die Unangemessenheit gerügt werden (Art. 106 Abs. 1 AsylG).</w:t>
      </w:r>
    </w:p>
    <w:p>
      <w:r>
        <w:rPr>
          <w:b/>
        </w:rPr>
        <w:t>E. 3.2</w:t>
      </w:r>
    </w:p>
    <w:p>
      <w:r>
        <w:t>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2012/21 E. 5.1, BVGE 2011/1 E. 2 und BVGE 2007/41 E. 2).</w:t>
      </w:r>
    </w:p>
    <w:p>
      <w:r>
        <w:rPr>
          <w:b/>
        </w:rPr>
        <w:t>E. 4.1</w:t>
      </w:r>
    </w:p>
    <w:p>
      <w:r>
        <w:t>Die Vorinstanz ist in Verfahren, die Tamilen aus Sri Lankas betreffen, systematisch dazu übergegangen, keine Ausreisefristen mehr zu verhängen und bereits angeordnete aufzuheben. Faktisch zieht sie damit sämtliche Verfahren (auch solche im Vollzugsstadium) in Wiedererwägung, und zwar unbesehen der fallspezifischen Umstände. Das vorinstanzliche Vorgehen geht auf zwei im August 2013 bekannt gewordene Vorfälle sri-lankischer Rückkehrer zurück, die in der Schweiz jeweils erfolglos ein Asylverfahren durchlaufen haben und weggewiesen wurden (vgl. Medien­mitteilungen des BFM vom 4. September 2013). Die sri-lankischen Behör­den haben die tamilischen Rückkehrer bei der Wiedereinreise in Haft genommen. Daraufhin hat die Vorinstanz in Aussicht gestellt, die beiden Vorfälle, eine allfällige Veränderung der allgemeinen Situation und insbesondere die Lage der Rückkehrenden in Sri Lanka vertieft abzuklären. Hierfür ersuchte es das Uno-Hochkommissariat für Flüchtlinge (UNHCR), die beiden Fälle einer Qualitätsprüfung zu unterziehen sowie die Dossiers jener Personen zu überprüfen, deren Gesuche rechtskräftig abgelehnt worden sind und die mit der Rückführung nach Sri Lanka hätten rechnen müssen (vgl. Medienmitteilungen des BFM vom 3. Oktober 2013; Neue Zürcher Zeitung [NZZ] Online vom 4. Oktober 2013: Uno-Hochkommis­sariat überprüft die Asyl-Dossiers, besucht am 11. November 2013). Die Vorinstanz geht damit selbst davon aus, dass der Sachverhalt, wie er der angefochtenen Verfügung zugrunde liegt, nicht vollständig festgestellt ist. Denn es besteht kein Zweifel, dass eine neue Lagebeurteilung vor Ort sich auf die konkrete Feststellung des rechtserheblichen Sachverhalts auswirken kann. Dies gilt jedenfalls dann auch für die Fragen der Flüchtlingseigenschaft und der Asylgewährung beziehungsweise der Unzulässigkeit der Wegweisung, wenn wie im vorliegenden Fall eine Beziehung zu den LTTE (in Sri Lanka und in der Schweiz) oder Verbindung zu den LTTE nahestehende Personen bestanden haben dürften.</w:t>
      </w:r>
    </w:p>
    <w:p>
      <w:r>
        <w:rPr>
          <w:b/>
        </w:rPr>
        <w:t>E. 4.2</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(muss aber nicht) grundsätzlich zwar auch durch die Beschwerdeinstanz selbst hergestellt werden, wenn dies im Einzelfall aus prozessökonomischen Gründen angebracht erscheint (vgl. BVGE 2012/21 E. 5). Vorliegend liegt der Mangel in einer unvollständigen Sachverhaltsfeststellung, wobei die unterbliebenen notwendigen Abklärungen eine relativ aufwändige und umfangreiche Beweiserhebung darstellen dürften, weshalb sich eine Kassation der angefochtenen Verfügung rechtfertigt. Im Übrigen bleibt auf diese Weise der Instanzenzug gewahrt, was umso wichtiger ist als das Bundesverwaltungsgericht letztinstanzlich entscheidet.</w:t>
      </w:r>
    </w:p>
    <w:p>
      <w:r>
        <w:rPr>
          <w:b/>
        </w:rPr>
        <w:t>E. 4.3</w:t>
      </w:r>
    </w:p>
    <w:p>
      <w:r>
        <w:t>Aus den vorstehend genannten Gründen ist die angefochtene Verfügung aufzuheben und die Sache zur vollständigen Sachverhaltsfeststellung und zu neuer Entscheidung an die Vorinstanz zurückzuweisen. Die Tatsache allein, dass die Ergebnisse der vorinstanzlichen Abklärungen abzuwarten sind, rechtfertigt die Aufhebung der Verfügung. Die Beschwerde ist - ungeachtet der Parteivorbringen - somit gutzuheissen.</w:t>
      </w:r>
    </w:p>
    <w:p>
      <w:r>
        <w:rPr>
          <w:b/>
        </w:rPr>
        <w:t>E. 5.1</w:t>
      </w:r>
    </w:p>
    <w:p>
      <w:r>
        <w:t>Bei diesem Ausgang des Verfahrens sind keine Kosten aufzuerlegen (vgl. Art. 63 Abs. 1 und 2 VwVG). Der am 8. November 2011 einbezahlte Kostenvorschuss von Fr. 600.- wird vom Bundesverwaltungsgericht rückerstattet.</w:t>
      </w:r>
    </w:p>
    <w:p>
      <w:r>
        <w:rPr>
          <w:b/>
        </w:rPr>
        <w:t>E. 5.2</w:t>
      </w:r>
    </w:p>
    <w:p>
      <w:r>
        <w:t>Dem vertretenen Beschwerdeführer ist angesichts des Ausgangs des Verfahrens eine Entschädigung für die ihm notwendigerweise erwach­senen Parteikosten zuzusprechen (Art. 64 VwVG und Art. 7 Abs. 1 des Reglements vom 21. Februar 2008 über die Kosten und Entschädigungen vor dem Bundesverwaltungsgericht [VGKE, SR 173.320.2]).</w:t>
      </w:r>
    </w:p>
    <w:p>
      <w:r>
        <w:rPr>
          <w:b/>
        </w:rPr>
        <w:t>E. 5.3</w:t>
      </w:r>
    </w:p>
    <w:p>
      <w:r>
        <w:t>Der Rechtsvertreter des Beschwerdeführers hat keine Kostennote eingereicht. Der entstandene Vertretungsaufwand kann jedoch aufgrund der Akten zuverlässig abgeschätzt werden (Art. 14 Abs. 2 VGKE). Dem Beschwerdeführer ist zu Lasten des BFM unter Berücksichtigung der massgebenden Bemessungsfaktoren (Art. 9 - 13 VGKE) und der Entschädigungspraxis in vergleichbaren Fällen eine Parteientschädigung für den Aufwand seines Rechtsvertreters von insgesamt Fr. 1200.- (inkl. Auslagen und allfällige MWSt)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