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D-5958/2025 vom 2. Oktober 2025</w:t>
      </w:r>
    </w:p>
    <w:p>
      <w:r>
        <w:t>Bundesverwaltungsgericht, 2025-10-02, DE</w:t>
      </w:r>
    </w:p>
    <w:p>
      <w:r>
        <w:rPr>
          <w:b/>
        </w:rPr>
        <w:t xml:space="preserve">Quelle: </w:t>
      </w:r>
      <w:r>
        <w:t>https://mcp.opencaselaw.ch/entscheid/bvger_D-5958_2025</w:t>
      </w:r>
    </w:p>
    <w:p>
      <w:r>
        <w:t>FR: TAF D-5958/2025 du 2 octobre 2025</w:t>
      </w:r>
    </w:p>
    <w:p>
      <w:r>
        <w:t>IT: TAF D-5958/2025 del 2 ottobre 2025</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Nachdem der erhobene Kostenvor-</w:t>
      </w:r>
    </w:p>
    <w:p>
      <w:r>
        <w:t>D-5958/2025 Seite 4 schuss innert Frist geleistet worden ist, ist auf die frist- und formgerecht eingereichte Beschwerde (Art. 105 und 108 Abs. 1 AsylG; Art. 52 Abs. 1 VwVG)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Das SEM führte zur Begründung seines Asylentscheids aus, es handle sich bei den geltend gemachten Todesdrohungen um Handlungen von pri- vaten Drittpersonen, welche nicht dem türkischen Staat zugerechnet wer- den könnten. Die Behörden seien auf Anzeigen des Beschwerdeführers hin ihrer Pflicht, die Übergriffe im Rahmen ihrer Möglichkeiten zu verfolgen, nachgekommen. Die versuchte Entführung habe der Beschwerdeführer</w:t>
      </w:r>
    </w:p>
    <w:p>
      <w:r>
        <w:t>D-5958/2025 Seite 5 indes gar nicht angezeigt, obwohl dies mit Sicherheit weitere Ermittlungen nach sich gezogen hätte. Er habe somit weitere behördliche Massnahmen aus eigenem Verschulden verhindert. Insgesamt sei von der Schutzwillig- keit und -fähigkeit der türkischen Behörden auszugehen. Im Übrigen seien die geltend gemachten Vorbringen auch deshalb nicht asylrelevant, weil die erlittenen Nachteile nicht intensiv genug seien und zudem davon aus- zugehen sei, dass sich der Beschwerdeführer der Verfolgung durch einen Wegzug in einen anderen Landesteil entziehen könnte. Die geltend ge- machten Benachteiligungen aufgrund seiner kurdischen Ethnie stellten so- dann keine ernsthaften Nachteile im Sinne des Asylgesetzes dar. Unge- achtet gewisser Zweifel an der Glaubhaftigkeit der Vorbringen sei die Flüchtlingseigenschaft daher zu verneinen und das Asylgesuch abzuleh- nen.</w:t>
      </w:r>
    </w:p>
    <w:p>
      <w:r>
        <w:rPr>
          <w:b/>
        </w:rPr>
        <w:t>E. 5.2</w:t>
      </w:r>
    </w:p>
    <w:p>
      <w:r>
        <w:t>Der Beschwerdeführer entgegnet, er sei im Heimatland von Blutrache betroffen. Blutrache sei ein legitimer Asylgrund. Er habe die türkischen Be- hörden mehrfach um Schutz gebeten, aber der Staat habe nichts unter- nommen beziehungsweise das Verfahren eingestellt. Am (…) sei er Opfer eines Entführungsversuchs geworden. Der Staat habe ihn nicht geschützt, und die Täter seien nach wie vor in Freiheit. Er habe keine Anzeige machen können, da er sich habe verstecken müssen. Falls er in die Türkei zurück- kehren würde, müsse er damit rechnen, getötet zu werden. Ein Wohnorts- wechsel sei nicht realistisch. Der Einfluss von B._______ innerhalb des Staates sei offensichtlich.</w:t>
      </w:r>
    </w:p>
    <w:p>
      <w:r>
        <w:rPr>
          <w:b/>
        </w:rPr>
        <w:t>E. 6.1</w:t>
      </w:r>
    </w:p>
    <w:p>
      <w:r>
        <w:t>Der Beschwerdeführer macht zur Begründung seines Asylgesuchs eine Verfolgung durch B._______ respektive durch ihm unbekannte Perso- nen aus dessen Umfeld geltend. Aufgrund der Aktenlage ist ferner davon auszugehen, dass der Beschwerdeführer durch diese Personen verfolgt wurde beziehungsweise wird, weil er B._______ im Jahr (…) verletzt hat. Damit macht der Beschwerdeführer eine Verfolgung durch private Drittper- sonen aus einem nicht unter Art. 3 Abs. 1 AsylG zu subsumierenden Motiv (nämlich Rache für zugefügte Verletzungen) geltend.</w:t>
      </w:r>
    </w:p>
    <w:p>
      <w:r>
        <w:rPr>
          <w:b/>
        </w:rPr>
        <w:t>E. 6.2</w:t>
      </w:r>
    </w:p>
    <w:p>
      <w:r>
        <w:t>Eine nichtstaatliche Verfolgung durch Drittpersonen ist nach der soge- nannten Schutztheorie flüchtlingsrechtlich nur dann beachtlich, wenn der Staat unfähig oder nicht willens ist, Schutz vor einer solchen Verfolgung zu bieten. Allerdings kann keine Garantie für langfristigen individuellen Schutz verlangt werden, da es keinem Staat gelingt, seinen Bürgerinnen und Bür- gern jederzeit und überall absolute Sicherheit zu gewährleisten (vgl. zum</w:t>
      </w:r>
    </w:p>
    <w:p>
      <w:r>
        <w:t>D-5958/2025 Seite 6 Ganzen BVGE 2011/51 E. 7.3 f. und statt vieler Urteil des BVGer E-5966/2022 vom 26. März 2025 E. 7.1, m.w.H.). Für den vorliegenden Fall ist vorab festzustellen, dass die türkischen Sicherheitsorgane als grund- sätzlich schutzfähig und -willig zu erachten sind, und zwar auch in Fällen von Blutrache und auch gegenüber Angehörigen der kurdischen Bevölke- rungsgruppe (vgl. dazu beispielsweise die Urteile E-5966/2022 vom 26. März 2025 E. 7.1 und E-1498/2024 vom 19. Juli 2024 E. 7.1, m.w.H.). Aus den Akten ergibt sich im vorliegenden Einzelfall nichts Gegenteiliges. Die Polizei hat die Anzeigen des Beschwerdeführers vom März (…) offen- sichtlich entgegengenommen und Ermittlungen durchgeführt. Das Verfah- ren wurde dann jedoch eingestellt, weil der Inhaber der Telefonnummer, von welcher aus die Drohnachrichten gesendet wurden, nicht ausfindig ge- macht werden konnte (vgl. A20 F8 sowie die eingereichte Einstellungsver- fügung vom […]). Die Verfahrenseinstellung ist damit aus nachvollziehba- ren Gründen erfolgt, weshalb daraus nicht geschlossen werden kann, die Behörden seien nicht gewillt, dem Beschwerdeführer Schutz zu gewähren. Dem Beschwerdeführer wäre es sodann ohne weiteres möglich und zu- mutbar gewesen, die versuchte Entführung vom (…) ebenfalls anzuzeigen, was er aber unterlassen hat (vgl. A20 F25), obwohl es für diesen Vorfall offenbar sogar Zeugen gab, welche allenfalls sachdienliche Angaben zur Täterschaft hätten machen können. Nach dem Gesagten sind keine Gründe ersichtlich, welche gegen die Annahme der Schutzfähigkeit und des Schutzwillens der türkischen Behörden im Falle des Beschwerdefüh- rers sprechen. Die geltend gemachte Verfolgung durch B._______ und dessen Entourage respektive die entsprechende Verfolgungsfurcht ist da- her als nicht asylrelevant zu erachten.</w:t>
      </w:r>
    </w:p>
    <w:p>
      <w:r>
        <w:rPr>
          <w:b/>
        </w:rPr>
        <w:t>E. 6.3</w:t>
      </w:r>
    </w:p>
    <w:p>
      <w:r>
        <w:t>Im Übrigen ist die geltend gemachte Bedrohung durch B._______ als ein auf die Stadt C._______ beschränktes und damit lokales Problem zu erachten. Es wäre dem Beschwerdeführer daher zuzumuten gewesen, sich diesen Behelligungen durch einen Umzug – beispielsweise nach D._______, wo seine Tanten und seine Schwester leben (vgl. A20 F37) – zu entziehen, allenfalls in Verbindung mit einem Wechsel seiner Telefon- nummer. Sein Einwand, ein Umzug sei unrealistisch, weil B._______ ein- flussreich sei, vermag nicht zu überzeugen, zumal der Beschwerdeführer dazu nichts Näheres ausführt. Die Asylrelevanz seiner Vorbringen ist daher auch aus diesem Grund zu verneinen.</w:t>
      </w:r>
    </w:p>
    <w:p>
      <w:r>
        <w:rPr>
          <w:b/>
        </w:rPr>
        <w:t>E. 7</w:t>
      </w:r>
    </w:p>
    <w:p>
      <w:r>
        <w:t>Zusammenfassend ist festzustellen, dass die vom Beschwerdeführer gel- tend gemachte Verfolgung respektive Verfolgungsfurcht nicht asylrelevant</w:t>
      </w:r>
    </w:p>
    <w:p>
      <w:r>
        <w:t>D-5958/2025 Seite 7 ist. Das SEM hat demnach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in die Türkei unter Be- rücksichtigung der massgeblichen landes- und völkerrechtlichen Bestim- mungen als zulässig erachtet. Diese Einschätzung ist ohne weiteres zu be- stätigen.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D-5958/2025 Seite 8 In der Türkei herrscht keine Situation allgemeiner Gewalt, weshalb der Wegweisungsvollzug dorthin praxisgemäss als generell zumutbar zu er- achten ist (vgl. Referenzurteil des BVGer E-4103/2024 vom 8. November 2024 E. 13.2; Urteil des BVGer D-3131/2021 vom 29. Januar 2025 E. 9.4.2). Es bestehen sodann auch keine individuellen Vollzugshinder- nisse. Es handelt sich beim Beschwerdeführer um einen jungen Mann ohne relevante gesundheitliche Beeinträchtigungen, dem es aufgrund sei- ner Ausbildung und Arbeitserfahrung zuzumuten ist, bei einer Rückkehr ins Heimatland ein wirtschaftliches Auskommen zu erzielen. Zudem verfügt er in der Türkei über ein tragfähiges Beziehungsnetz und eine gesicherte Wohnsituation. Insgesamt ist daher nicht davon auszugehen, dass er bei einer Rückkehr in die Türkei aus wirtschaftlichen, sozialen oder gesund- heitlichen Gründen in eine existenzielle Notlage geraten würde. In der Be- schwerde wird denn auch nichts dergleichen vorgebracht. Der Vollzug der Wegweisung ist demnach als zumutbar zu erachten.</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 [SR 142.20]).</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25. August 2025 in gleicher Höhe geleisteten Kostenvorschuss gedeckt. (Dispositiv nächste Seite)</w:t>
      </w:r>
    </w:p>
    <w:p>
      <w:r>
        <w:t>D-5958/2025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