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D-5947/2010 vom 18. August 2011</w:t>
      </w:r>
    </w:p>
    <w:p>
      <w:r>
        <w:t>Bundesverwaltungsgericht, 2011-08-18, DE</w:t>
      </w:r>
    </w:p>
    <w:p>
      <w:r>
        <w:rPr>
          <w:b/>
        </w:rPr>
        <w:t xml:space="preserve">Quelle: </w:t>
      </w:r>
      <w:r>
        <w:t>https://mcp.opencaselaw.ch/entscheid/bvger_D-5947_2010</w:t>
      </w:r>
    </w:p>
    <w:p>
      <w:r>
        <w:t>FR: TAF D-5947/2010 du 18 août 2011</w:t>
      </w:r>
    </w:p>
    <w:p>
      <w:r>
        <w:t>IT: TAF D-5947/2010 del 18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Auslieferungsbegehrens des Staates, vor welchem die beschwerdeführende Person Schutz sucht (Art. 105 AsylG; Art. 83 Bst. d Ziff. 1 des Bundesgerichtsgesetzes vom 17. Juni 2005 [BGG, SR 173.110]). Ein solches Auslieferungsbegehren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w:t>
      </w:r>
    </w:p>
    <w:p>
      <w:r>
        <w:rPr>
          <w:b/>
        </w:rPr>
        <w:t>E. 1.5</w:t>
      </w:r>
    </w:p>
    <w:p>
      <w:r>
        <w:t>Gemäss Art. 111a Abs. 1 AsylG wurde vorliegend auf die Durchführung des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bei den durch den Beschwerdeführer geltend gemachten Problemen wie der Prügelei Anfang des Jahres K._______ handle es sich um Probleme mit Dritten. In diesem Zusammenhang sei festzuhalten, dass der Staat Kosovo gewillt sei, gegen solche Übergriffe anzukämpfen. Der Beschwerdeführer verfüge über eine staatliche Infrastruktur, die funktioniere und wirksam sei. Somit könne er sich an die entsprechenden Instanzen wenden. Die von ihm pauschal geltend gemachte gesellschaftliche Diskriminierung als Homosexueller und der zum Teil fehlende Kontakt mit Verwandten und Familienangehörigen müssten als zu wenig intensiv eingestuft werden. Denn Massnahmen gegen Leib, Leben und Freiheit einer Person seien nur dann asylrelevant, wenn sie aufgrund ihrer Art und Intensität ein menschenwürdiges Leben im Verfolgerstaat verunmöglichen oder in unzumutbarer Weise erschweren würden, so dass sich die verfolgte Person dieser Zwangssituation nur durch Flucht ins Ausland entziehen könne. Dies sei jedoch vorliegend nicht der Fall. Diese Erwägungen würden durch das gezeigte Verhalten des Beschwerdeführers bestätigt. So habe dieser erst rund drei Wochen nach seiner Einreise in die Schweiz die hiesigen Behörden um Schutz ersucht und sein drittes Asylgesuch eingereicht.</w:t>
      </w:r>
    </w:p>
    <w:p>
      <w:r>
        <w:rPr>
          <w:b/>
        </w:rPr>
        <w:t>E. 3.2</w:t>
      </w:r>
    </w:p>
    <w:p>
      <w:r>
        <w:t>Demgegenüber wendet der Beschwerdeführer in seiner Rechtsmitteleingabe im Wesentlichen ein, es treffe zu, dass sogar in der Verfassung von Kosovo den Homosexuellen Rechte zugestanden würden. Jedoch sei in der Realität in der kosovarischen Kultur und Gesellschaft nach wie vor eine totale Ablehnung der Homosexualität verankert. Er werde in Kosovo nie ein ruhiges und unbehelligtes Leben führen können, sobald seine Neigung dort bekannt sei. Die Familie schliesse eine solche Person aus und auch in der Gesellschaft habe er Diskriminierungen zu gewärtigen. Es sei daher auch verständlich, dass er nur zögernd und unter grosser Angst vor den schweizerischen Behörden sein Problem habe darlegen können. Bei einer erzwungenen Rückkehr hätte er unter Diskriminierung, Verfolgung und einem unerträglichen Druck zu leiden und es sei nicht auszuschliessen, dass er sogar an Leib und Leben gefährdet wäre. Zudem hätte er bei Übergriffen keinen Schutz von den Behörden zu erwarten.</w:t>
      </w:r>
    </w:p>
    <w:p>
      <w:r>
        <w:rPr>
          <w:b/>
        </w:rPr>
        <w:t>E. 3.3</w:t>
      </w:r>
    </w:p>
    <w:p>
      <w:r>
        <w:t>Der Beschwerdeführer führt im Wesentlichen an, wegen seiner Homosexualität in Kosovo gesellschaftlich diskriminiert zu werden, Probleme mit seinen Familienangehörigen zu haben und zu Beginn des Jahres K._______ deswegen von Besuchern einer Gaststätte verprügelt worden zu sein. Aufgrund der Akten erweisen sich die vorinstanzlichen Erwägungen, wonach die Asylrelevanz dieser Verfolgungsvorbringen zu verneinen sei, als zutreffend. Die im Gesetz in Art. 3 AsylG definierte Flüchtlingseigenschaft (vgl. Ziffer 2.1 oben)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Eine asylrelevante Intensität erreichen Angriffe auf die in Art. 3 AsylG genannten Rechtsgüter bei einer Gefährdung des Lebens dann, wenn eine direkte und ernsthafte Todesgefahr vorliegt. Eine Gefährdung des Leibes erreicht die geforderte Intensität dann, wenn dem Betroffenen ernsthafte Verletzungen (physischer oder psychischer Natur) zugefügt worden sind. Leichtere Eingriffe in die körperliche Integrität erreichen die nötige Intensität wiederum nicht. Auch nicht jedem Eingriff in die Bewegungsfreiheit kommt Asylrelevanz zu. Einerseits ist bei der Beurteilung die Dauer der Inhaftierung, andererseits die Behandlung während dieser in Betracht zu ziehen. So erreicht etwa eine kurzzeitige Inhaftierung begleitet von allgemein "schlechten" Bedingungen im Normalfall die erforderliche Intensität zur Zuerkennung der Flüchtlingseigenschaft nicht. Bei der Beurteilung, ob erlittene Eingriffe intensiv genug sind, ist mitzuberücksichtigen, dass mehrere Eingriffe in die in Art. 3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von einem Gesuchsteller geltend gemachte psychische Druck objektiv gesehen nachvollziehbar sein muss. Zusammenfassend ergibt sich, dass sich bezüglich der Frage der Intensität von Eingriffen keine generellen Kriterien aufstellen lassen. Vielmehr ist im konkreten Einzelfall zu entscheiden, ob die für die Zuerkennung der Flüchtlingseigenschaft notwendige Intensität der Beeinträchtigungen erreicht oder das Mass der Erträglichkeit eines psychischen Druckes überschritten ist. Die vom Beschwerdeführer in diesem Zusammenhang gemachten Angaben lassen jedoch keine Hinweise ersichtlich werden, dass die angeführten Ereignisse eine asylrelevante Intensität erreicht haben könnten. Soweit er auf seine gesellschaftliche Diskriminierung als Homosexueller hinweist und diesbezüglich ausführt, er sei von der Familie seiner Schwester boykottiert wurden, weshalb er diese nicht mehr habe besuchen können, und auch andere enge Verwandte, Bekannte und Nachbarn würden ihn nicht mehr sehen wollen (vgl. act. C7/10, S. 6), sind diese Umstände zu wenig intensiv, um eine Verfolgung im flüchtlingsrechtlich relevanten Sinne darzustellen (vgl. dazu auch Walter Kälin, Grundriss des Asylverfahrens, Basel/Frankfurt a. M. 1990, S. 97 f.). Was den Vorfall zu Beginn des Jahres K._______ betrifft, wonach er von Gästen einer Gaststätte wegen seiner sexuellen Neigung verprügelt worden sei, so ist auch dieser als nicht asylrelevant zu qualifizieren. Dieses Ereignis lag im Zeitpunkt der Ausreise des Beschwerdeführers bereits über (...) Jahre zurück. Deshalb kann diese Begebenheit nicht mehr als Massnahme angesehen werden, die ihn unmittelbar zur Ausreise veranlasst hätte, weshalb sie asylrechtlich vorliegend nicht beachtlich erscheint. Dies umso mehr, als der Beschwerdeführer anführte, bloss einmal verprügelt worden zu sein und in der Folge keine weiteren negativen Erlebnisse wegen seiner Homosexualität erfahren zu haben (vgl. act. C7/10, S. 6). Überdies entschloss er sich, obwohl sich nach dem Tod seines Vaters im Jahre (...) die Beziehungen zu seinen Geschwistern verschlechtert und kurz danach die anderen Leute in seinem Umfeld ebenfalls von seiner Homosexualität erfahren haben sollen (vgl. act. C7/10, S. 3; act. C1/8, S. 4), erst im Herbst des Jahres 2008 zur Ausreise, was nicht darauf schliessen lässt, ihm wäre ein menschenwürdiges Leben in Kosovo verunmöglicht oder in unzumutbarer Weise erschwert worden. Ferner wird obige Einschätzung durch das Verhalten des Beschwerdeführers nach seiner letzten Einreise in die Schweiz gestützt. So sah er sich den Akten zufolge nach seiner Einreise in die Schweiz zunächst nicht zur Einreichung eines Asylgesuches veranlasst, sondern ging erst einmal - ohne im Besitz einer gültigen Arbeitsbewilligung zu sein - einer Erwerbstätigkeit nach, bis er polizeilich angehalten und mit Strafbefehl (...) unter anderem wegen Arbeitsaufnahme ohne Bewilligung gebüsst wurde. Erst danach reichte er sein - mittlerweile drittes - Asylgesuch in der Schweiz ein. Dieses Verhalten entspricht aber nicht demjenigen eines tatsächlich Verfolgten.</w:t>
      </w:r>
    </w:p>
    <w:p>
      <w:r>
        <w:rPr>
          <w:b/>
        </w:rPr>
        <w:t>E. 3.4</w:t>
      </w:r>
    </w:p>
    <w:p>
      <w:r>
        <w:t>Zusammenfassend folgt, dass der Beschwerdeführer keine Gründe nach Art. 3 AsylG nachweisen oder glaubhaft machen kann. Das BFM hat sein Asylgesuch zu Recht abgelehnt. Es erübrigt sich somit, auf die weiteren Ausführungen in der Rechtsmitteleingabe einzugehen, da sie nicht geeignet sind, obige Einschätzung in Zweifel zu ziehen.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konstanter Praxis des EGMR sowie jener des UN 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Alleine aus der allgemeinen Menschenrechtssituation in Kosovo lässt sich zudem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w:t>
      </w:r>
    </w:p>
    <w:p>
      <w:r>
        <w:t>Der Vollzug der Wegweisung des Beschwerdeführers nach Kosovo ist im vorliegenden Fall in Würdigung sämtlicher Umstände auch als zumutbar im Sinne von Art. 83 Abs. 4 AuG zu erachten, da dort keine Situation allgemeiner Gewalt herrscht und er nicht darzutun vermochte, dass er bei einer Rückkehr in sein Heimatland einer konkreten Gefährdungssituation im Sinne der zu beachtenden Bestimmung ausgesetzt wäre. In den Akten finden sich auch keine konkreten Anhaltspunkte dafür, dass er aus individuellen Gründen wirtschaftlicher, sozialer oder gesundheitlicher Natur in eine existenzbedrohende Situation geraten würde. Der heute (...)-jährige Beschwerdeführer ist - soweit aktenkundig - gesund und verfügt über eine langjährige Berufserfahrung als (...) und (...) (vgl. act A7/10, S. 4). Zudem verfügt er in Kosovo über ein soziales Beziehungsnetz. Zwar sollen die sich in der Heimat aufhaltenden Geschwister und weitere Bekannte ihn wegen seiner Homosexualität boykottieren. Dieser Umstand alleine vermag jedoch den Wegweisungsvollzug nicht als unzumutbar erscheinen zu lassen; zudem ist davon auszugehen, dass er in Kosovo über weitere soziale Kontakte verfügt beziehungsweise es ihm zumutbar ist, vorbestehende Kontakte zu erneuern (vgl. act A7/10, S. 5 oben und S. 6 oben), was ihm die Reintegration in seiner Heimat erleichtern dürfte.</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BVGE 2008/34 E. 12 S. 513 ff.).</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insgesamt Fr. 600.- dem Beschwerdeführer aufzuerlegen (Art. 63 Abs. 1 und 5 VwVG; Art. 1-3 des Reglements vom 21. Februar 2008 über die Kosten und Entschädigungen vor dem Bundesverwaltungsgericht [VGKE, SR 173.320.2]) und mit dem am 10. September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