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D-5940/2010 vom 1. Oktober 2010</w:t>
      </w:r>
    </w:p>
    <w:p>
      <w:r>
        <w:t>Bundesverwaltungsgericht, 2010-10-01, DE</w:t>
      </w:r>
    </w:p>
    <w:p>
      <w:r>
        <w:rPr>
          <w:b/>
        </w:rPr>
        <w:t xml:space="preserve">Quelle: </w:t>
      </w:r>
      <w:r>
        <w:t>https://mcp.opencaselaw.ch/entscheid/bvger_D-5940_2010</w:t>
      </w:r>
    </w:p>
    <w:p>
      <w:r>
        <w:t>FR: TAF D-5940/2010 du 1 octobre 2010</w:t>
      </w:r>
    </w:p>
    <w:p>
      <w:r>
        <w:t>IT: TAF D-5940/2010 del 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sämtlicher Protokolle mit seiner Unterschrift bestätigt hat und sich deshalb seine Aussagen grundsätzlich entgegenhalten lassen muss.</w:t>
      </w:r>
    </w:p>
    <w:p>
      <w:r>
        <w:rPr>
          <w:b/>
        </w:rPr>
        <w:t>E. 5.2</w:t>
      </w:r>
    </w:p>
    <w:p>
      <w:r>
        <w:t>Die Vorbringen in der Rechtsmitteleingabe vom 20. August 2010 sind nicht geeignet, eine Änderung der vorinstanzlichen Verfügung zu bewirken. Der Argumentation des BFM werden keine stichhaltigen und substanziierten Gründe entgegengesetzt. Insbesondere vermag der Einwand in der Beschwerde, die widersprüchlichen Aussagen seien mit Verweis auf die schwache Bildung des Beschwerdeführers und die besonderen Umstände einer Anhörung im Empfangszentrum zu relati-vieren, das Gericht nicht zu überzeugen, zumal die Schilderung von tatsächlich Erlebtem nicht von einer schulischen Bildung oder Leistung abhängt und Asylbewerber unabhängig von ihrer Bildung in der Lage sind, die tatsächlich erlebten Asylgründe in einfachen Worten schlüs-sig und widerspruchsfrei vorzutragen. Für das Bundesverwaltungs-gericht besteht nach Überprüfung der Akten keine Veranlassung, die Erwägungen des BFM zu beanstanden. Um Wiederholungen zu vermeiden, kann daher auf die diesbezüglich zutreffenden Ausfüh-rungen in der angefochtenen Verfügung verwiesen werden. Ausserdem ist festzustellen, dass sich der Beschwerdeführer anlässlich der Befragungen auch bezüglich des Reiseweges und der dabei verwendeten Mittel erheblich widersprochen hat (vgl. Akten BFM A 1/8, S. 5; A 8/16, S. 10), was die Glaubhaftigkeit der geltend gemachten Desertion und der damit verbundene Flucht ebenfalls in Frage stellt (Entscheidungen und Mitteilungen der Schweizerischen Asylrekurs-kommission [EMARK] 1998 Nr. 17 S. 150). Schliesslich ist darauf hinzuweisen, dass auch die mit der Rechtsmittelschrift eingereichten Fotos nicht geeignet sind, die behauptete Desertion und die damit verbundene Flucht glaubhaft zu machen, zumal diese höchstens zu belegen vermögen, dass der Beschwerdeführer (irgendeinmal) Militär-dienst geleistet hat, jedoch kein Beleg dafür sind, dass er desertiert ist. Nach dem Gesagten hat das BFM zutreffend festgestellt, dass die flüchtlingsrelevanten Elemente erst mit der illegalen Ausreise aus Eritrea entstanden sind, weshalb es dem Beschwerdeführer zu Recht in Anwendung von Art. 54 AsylG (subjektive Nachfluchtgründe) kein Asyl gewährte und ihn als Flüchtling in der Schweiz vorläufig aufnahm.</w:t>
      </w:r>
    </w:p>
    <w:p>
      <w:r>
        <w:rPr>
          <w:b/>
        </w:rPr>
        <w:t>E. 5.3</w:t>
      </w:r>
    </w:p>
    <w:p>
      <w:r>
        <w:t>Aufgrund der vorstehenden Erwägungen erübrigt es sich, auf die weiteren Ausführungen in der Beschwerdeschrift einzugehen, da sie am Ergebnis der vorgenommenen Würdigung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6.3</w:t>
      </w:r>
    </w:p>
    <w:p>
      <w:r>
        <w:t>Zu prüfen bleibt in der Regel, ob es Gründe gibt, die dem Vollzug der Wegweisung entgegenstehen (vgl. Art. 44 AsyG und Art. 83 Abs. 1-4 des Bundesgesetzes vom 16. Dezember 2005 über die Ausländerinnen und Ausländer [AuG, SR 142.20]). Vorliegend hat jedoch das Bundesamt in der angefochtenen Verfügung die vorläufige Aufnahme des Beschwerdeführers in der Schweiz angeordnet, wodurch die Prüfung allfälliger Wegweisungshindernisse entfällt.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September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