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D-5939/2012 vom 5. Dezember 2012</w:t>
      </w:r>
    </w:p>
    <w:p>
      <w:r>
        <w:t>Bundesverwaltungsgericht, 2012-12-05, DE</w:t>
      </w:r>
    </w:p>
    <w:p>
      <w:r>
        <w:rPr>
          <w:b/>
        </w:rPr>
        <w:t xml:space="preserve">Quelle: </w:t>
      </w:r>
      <w:r>
        <w:t>https://mcp.opencaselaw.ch/entscheid/bvger_D-5939_2012</w:t>
      </w:r>
    </w:p>
    <w:p>
      <w:r>
        <w:t>FR: TAF D-5939/2012 du 5 décembre 2012</w:t>
      </w:r>
    </w:p>
    <w:p>
      <w:r>
        <w:t>IT: TAF D-5939/2012 del 5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5.2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BFM schliesst nicht aus, dass der Beschwerdeführer aufgrund seiner früheren Tätigkeit in der politischen Bewegung Menka ernstzunehmende Schwierigkeiten mit den eritreischen Behörden erhalten könnte. Es hat den Beschwerdeführern jedoch die Einreise in die Schweiz zwecks Asylgewährung nicht bewilligt, da es ihnen zuzumuten sei, im Sudan zu verbleiben, und sie folglich den Schutz der Schweiz nicht benötigten.</w:t>
      </w:r>
    </w:p>
    <w:p>
      <w:r>
        <w:rPr>
          <w:b/>
        </w:rPr>
        <w:t>E. 6.2</w:t>
      </w:r>
    </w:p>
    <w:p>
      <w:r>
        <w:t>Die Überprüfung der Akten ergibt, dass sich die diesbezüglichen Erwägungen in der angefochtenen Verfügung (vgl. Sachverhalt Bst. E) als zutreffend erweisen und den Beschwerdeführenden tatsächlich zugemutet werden kann, sich weiterhin im Sudan aufzuhalten. Die Beschwerdeführenden halten sich seit über 30 Jahren im Sudan auf, wo sie vom UNHCR registriert sind und ohne ernsthafte Probleme leben. Das UNHCR und der COR haben überdies den Flüchtlingsstatus des Beschwerdeführers im Verlaufe des Jahres 2002 überprüft und erneuert, weshalb die Beschwerdeführenden im Sudan auch aktuell als Flüchtlinge anerkannt sind. Es ist im Sudan zwar in der Tat in vereinzelten Fällen zu Entführungen von eritreischen Flüchtlingen beziehungsweise zu Deportationen von eritreischen Flüchtlingen nach Eritrea gekommen. Wie indessen das BFM in seiner Verfügung vom 27. August 2012 übereinstimmend mit der Praxis des Bundesverwaltungsgerichts erwogen hat, ist gemäss gesicherten Erkenntnissen das Risiko einer Deportation oder Verschleppung für Eritreer, die im Sudan vom UNHCR als Flüchtlinge anerkannt sind, gering (vgl. statt vieler Urteile E-4417/2011 vom 9. Februar 2012 E. 6.5.3 und D-5745/2011 vom 10. Januar 2012 E. 6.1). Darüber hinaus hat die Vorinstanz zu Recht festgehalten, dass der eritreische Sicherheitsdienst den Beschwerdeführer angesichts dessen langjährigen Aufenthalts im Sudan mutmasslich schon längst entführt hätte, wenn sie an dessen Person tatsächlich Interesse bekunden würde. So besehen, erweist sich auch die vom Beschwerdeführer erstmals auf Beschwerdeebene gemachte Äusserung, seit der diplomatischen Annäherung zwischen Eritrea und dem Sudan sei es bereits zu mehreren Entführungsversuchen seiner Person gekommen (vgl. Beschwerde S. 2 Bst. c), als nachgeschobene und damit unglaubhafte Parteibehauptung. Soweit die Beschwerdeführenden geltend machen, zunehmend wirtschaftliche Schwierigkeiten zu haben, weil der Beschwerdeführer altershalber keiner Erwerbstätigkeit mehr nachgehe, ist festzuhalten, dass die Beschwerdeführenden im Sudan einem Flüchtlingslager zugewiesen worden sind, es den Akten zufolge aber vorgezogen haben, sich in Khartum ausserhalb desselben aufzuhalten. Es ist ihnen jedoch grundsätzlich zuzumuten, sich in das ihnen zugewiesene Flüchtlingslager zurückzubegeben. Im Weiteren leben im Sudan noch vier Kinder der Beschwerdeführenden, welche ebenfalls zum Unterhalt der gesamten Familie beitragen können. Schliesslich vermag auch der Umstand, dass zwei Verwandte der Beschwerdeführenden in der Schweiz leben, keinen derart gewichtigen Anknüpfungspunkt darzustellen, dass eine Abwägung der Gesamtumstände im Sinne von Art. 52 Abs. 2 AsylG dazu führen müsste, dass es gerade die Schweiz ist, die ihnen den erforderlichen Schutz gewähren soll.</w:t>
      </w:r>
    </w:p>
    <w:p>
      <w:r>
        <w:rPr>
          <w:b/>
        </w:rPr>
        <w:t>E. 6.3</w:t>
      </w:r>
    </w:p>
    <w:p>
      <w:r>
        <w:t>Zusammenfassend ergibt sich, dass die angefochtene Verfügung Bundesrecht nicht verletzt, den rechtserheblichen Sachverhalt richtig und vollständig feststellt und angemessen ist (Art. 106 Abs. 1 AsylG). Das BFM hat die Asylgesuche der Beschwerdeführenden aus dem Ausland zu Recht abgelehnt und ihnen die Einreise in die Schweiz verweigert. Die Beschwerde ist deshalb abzuweisen.</w:t>
      </w:r>
    </w:p>
    <w:p>
      <w:r>
        <w:rPr>
          <w:b/>
        </w:rPr>
        <w:t>E. 7</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