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D-5937/2012 vom 23. März 2013</w:t>
      </w:r>
    </w:p>
    <w:p>
      <w:r>
        <w:t>Bundesverwaltungsgericht, 2013-03-23, DE</w:t>
      </w:r>
    </w:p>
    <w:p>
      <w:r>
        <w:rPr>
          <w:b/>
        </w:rPr>
        <w:t xml:space="preserve">Quelle: </w:t>
      </w:r>
      <w:r>
        <w:t>https://mcp.opencaselaw.ch/entscheid/bvger_D-5937_2012</w:t>
      </w:r>
    </w:p>
    <w:p>
      <w:r>
        <w:t>FR: TAF D-5937/2012 du 23 mars 2013</w:t>
      </w:r>
    </w:p>
    <w:p>
      <w:r>
        <w:t>IT: TAF D-5937/2012 del 23 marzo 2013</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im Bereich des Asyls endgültig ausser - was vorliegend nicht zutrifft - bei Vorliegen eines Auslieferungsersuchens des Staates, vor welchem die beschwerdeführende Person Schutz sucht (vgl. dazu Art. 105 AsylG i.V.m. Art. 31-33 VGG sowie Art. 83 Bst. d Ziff. 1 des Bundesgerichtsgesetzes vom 17. Juni 2005 [BGG, SR 173.110]).</w:t>
      </w:r>
    </w:p>
    <w:p>
      <w:r>
        <w:rPr>
          <w:b/>
        </w:rPr>
        <w:t>E. 1.2</w:t>
      </w:r>
    </w:p>
    <w:p>
      <w:r>
        <w:t>Das Verfahren richtet sich nach dem VwVG, soweit das VGG oder das AsylG nichts anderes bestimmen (vgl. Art. 37 VGG sowie Art. 6 und 105 AsylG),</w:t>
      </w:r>
    </w:p>
    <w:p>
      <w:r>
        <w:rPr>
          <w:b/>
        </w:rPr>
        <w:t>E. 1.3</w:t>
      </w:r>
    </w:p>
    <w:p>
      <w:r>
        <w:t>Ein Zuweisungsentscheid des Bundesamts ist eine selbständig anfechtbare Zwischenverfügung (Art. 107 Abs. 1 letzter Satz AsylG i.V.m. Art. 27 Abs. 3 AsylG)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 S. 672). Diese zulässige Rüge wird im vorliegenden Fall von den Beschwerdeführenden denn auch sinngemäss erhoben.</w:t>
      </w:r>
    </w:p>
    <w:p>
      <w:r>
        <w:rPr>
          <w:b/>
        </w:rPr>
        <w:t>E. 2</w:t>
      </w:r>
    </w:p>
    <w:p>
      <w:r>
        <w:t>Zwischenverfügungen sind innerhalb von zehn Tagen ab deren Eröffnung anzufechten (Art. 108 Abs. 1 AsylG). Die angefochtene Verfügung ist den Beschwerdeführenden frühestens am 5. November 2012 eröffnet worden. Am 15. November 2012 ging beim Bundesverwaltungsgericht die dagegen erhobene Beschwerde ein. Die Beschwerde ist somit form- und fristgerecht eingereicht. Die Beschwerdeführenden sind durch die angefochtene Verfügung besonders berührt und daher zur Beschwerde legitimiert (Art. 108 Abs. 1 AsylG, Art. 6 AsylG i.V.m. Art. 48 und 52 VwVG). Das Beschwerdeverfahren ist durch die Verfügung vom 5. Dezember 2012, welche die ursprünglich angefochtene Verfügung vom 2. November 2012 ersetzte, nicht gegenstandslos geworden, so dass deren Behandlung gemäss Art. 58 Abs. 1 VwVG fortzusetzen ist. Auf die Beschwerde ist mithin einzutreten.</w:t>
      </w:r>
    </w:p>
    <w:p>
      <w:r>
        <w:rPr>
          <w:b/>
        </w:rPr>
        <w:t>E. 3</w:t>
      </w:r>
    </w:p>
    <w:p>
      <w:r>
        <w:t>Der Rechtsvertreter der Beschwerdeführenden stellte am 27. Februar 2013 ein drittes Gesuch um Fristerstreckung (bis zum 31. März 2013) zur Einreichung einer Stellungnahme. Aus prozessökonomischen Gründen verzichtet das Gericht auf eine erneute Erstreckung der Frist, da das vorliegende Verfahren (lediglich) einen Zwischenentscheid betrifft, so dass eine möglichst zeitnahe Beurteilung der Beschwerde angezeigt erscheint. Zudem erwachsen den Beschwerdeführenden aus dem Verzicht auf erneute Ansetzung einer Frist keine Nachteile, da das Gericht unabhängig von allfälligen in der Stellungnahme vorgebrachten Argumenten die Beschwerde - wie nachstehend ausgeführt - vollumfänglich gutheisst und dabei sinngemäss der bereits in den bisherigen Eingaben vorgebrachten Argumentation der Beschwerdeführenden folgt.</w:t>
      </w:r>
    </w:p>
    <w:p>
      <w:r>
        <w:rPr>
          <w:b/>
        </w:rPr>
        <w:t>E. 4.1</w:t>
      </w:r>
    </w:p>
    <w:p>
      <w:r>
        <w:t>Gemäss Art. 27 Abs. 3 AsylG weist das BFM die Asylsuchenden den Kantonen zu und trägt dabei den schützenswerten Interessen der Asylsuchenden sowie der Kantone Rechnung. Gemäss Art. 22 Abs. 1 der Asylverordnung 1 vom 11. August 1999 (AsylV 1, SR 142.311) berücksichtigt das BFM dabei bereits in der Schweiz lebende Familienangehörige und die Staatsangehörigkeit Asylsuchender sowie besonders betreuungsintensive Fälle. Die Verteilung erfolgt nach einem Schlüssel gemäss Art. 21 AsylV 1. Nach Art. 22 Abs. 2 AsylV 1 wird ein Kantonswechsel vom BFM nur bei Zustimmung beider Kantone, bei Anspruch auf Einheit der Familie oder bei schwerwiegender Gefährdung der asylsuchenden Person oder anderer Personen verfügt.</w:t>
      </w:r>
    </w:p>
    <w:p>
      <w:r>
        <w:rPr>
          <w:b/>
        </w:rPr>
        <w:t>E. 4.2</w:t>
      </w:r>
    </w:p>
    <w:p>
      <w:r>
        <w:t>Die Beschwerdeführenden begründeten ihr Gesuch damit, dass ihnen zu erlauben sei, zur Familie ihrer Tochter zu ziehen. Der Beschwerdeführer sei gesundheitlich angeschlagen, da er aufgrund der Ereignisse in Syrien erschöpft, schwach und müde sei. Er leide an Schlafstörungen und Atempausen und sei deshalb in ärztlicher Behandlung. Der Schwiegersohn sei (...) verstorben. Seit dessen Tod sei der Grossv­ater, d.h. der Beschwerdeführer, zur unersetzlichen Bezugsperson der Familie geworden und übe nunmehr die Vaterrolle betreffend die vier Enkelkinder aus. Insbesondere zum jüngsten Enkel, D._______, geboren (...), habe er eine ausserordentlich enge Beziehung, welche für beide äusserst wichtig sei, umso mehr, als D._______ aufgrund des Todes seines Vaters sehr leide. Die Gewährleistung dieser Beziehungen sei eine unabdingbare Notwendigkeit zur Verbesserung der Gesundheit des Beschwerdeführers und der psychisch-geistigen Entwicklung der Kinder, ins­besondere von D._______.</w:t>
      </w:r>
    </w:p>
    <w:p>
      <w:r>
        <w:rPr>
          <w:b/>
        </w:rPr>
        <w:t>E. 4.3</w:t>
      </w:r>
    </w:p>
    <w:p>
      <w:r>
        <w:t>Das BFM begründete die Ablehnung des Gesuchs damit, es sei zwar nachvollziehbar, dass die Beschwerdeführenden bei ihrer Tochter und den Enkelkindern leben wollen würden. Der Aufenthalt im Kanton X._______ würde aufgrund der geographischen Nähe zum Kanton Y._______ jedoch die Pflege der engen Beziehung nicht verunmöglichen. Zudem sei der Zugang zu medizinischer Betreuung im Kanton X._______ jederzeit gewährleistet.</w:t>
      </w:r>
    </w:p>
    <w:p>
      <w:r>
        <w:rPr>
          <w:b/>
        </w:rPr>
        <w:t>E. 4.4</w:t>
      </w:r>
    </w:p>
    <w:p>
      <w:r>
        <w:t>In der Beschwerde wurde sinngemäss geltend gemacht, dass die angefochtene Verfügung den Grundsatz der Einheit der Familie verletze.</w:t>
      </w:r>
    </w:p>
    <w:p>
      <w:r>
        <w:rPr>
          <w:b/>
        </w:rPr>
        <w:t>E. 4.5</w:t>
      </w:r>
    </w:p>
    <w:p>
      <w:r>
        <w:t>Gemäss Rechtsprechung des Bundesverwaltungsgerichts wird der Begriff "Einheit der Familie" im Asylgesetz einheitlich verwendet und entspricht jenem Schutzbereich von Art. 8 der Konvention vom 4. November 1950 zum Schutze der Menschenrechte und Grundfreiheiten (EMRK, SR 0.101). Ehegatten, Konkubinatspartner und deren minderjährige Kinder sowie nahe Angehörige, soweit besondere Gründe (Art. 38 AsylV 1) vorliegen, mithin ein Abhängigkeitsverhältnis gegeben ist, fallen demnach in diesen Schutzbereich. Dieser Begriff der Einheit der Familie ist auch der Auslegung von Art. 27 Abs. 3 letzter Satz AsylG zugrunde zu legen (vgl. BVGE 2008/47 E. 4.1 S. 677 m.w.H.).</w:t>
      </w:r>
    </w:p>
    <w:p>
      <w:r>
        <w:rPr>
          <w:b/>
        </w:rPr>
        <w:t>E. 4.6</w:t>
      </w:r>
    </w:p>
    <w:p>
      <w:r>
        <w:t>Bei der Berufung auf den Grundsatz der Einheit der Familie im Sinne von Art. 27 Abs. 3 letzter Satz AsylG ist entweder die Anwesenheit eines Angehörigen der Kernfamilie der asylsuchenden Person oder - wenn dies nicht der Fall ist - ein Abhängigkeitsverhältnis gemäss der Rechtsprechung zu Art. 8 EMRK beziehungsweise Art. 51 Abs. 2 AsylG vorausgesetzt (vgl. BVGE 2008/47 E. 4.1.1 S. 677 f.; Urteil des Schweizerischen Bundesgerichts vom 24. Oktober 2002 [2A.187/2002] E. 1.2, BGE 120 Ib 257, 260 E. 1d und 1e, BGE 115 Ib 1, 5 E. 2c).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(vgl. BGE 120 Ib 257, 261 E. 1e).</w:t>
      </w:r>
    </w:p>
    <w:p>
      <w:r>
        <w:rPr>
          <w:b/>
        </w:rPr>
        <w:t>E. 4.7</w:t>
      </w:r>
    </w:p>
    <w:p>
      <w:r>
        <w:t>Die Beschwerdeführenden sind nicht Angehörige der Kernfamilie der volljährigen Tochter und deren Kinder, so dass im vorliegenden Fall ein Abhängigkeitsverhältnis zu prüfen ist. Analog zu den Entscheidungen und Mitteilungen der Schweizerischen Asylrekurskommission [EMARK] 2000 Nr. 4 E. 5.b S. 41 f. kann festgehalten werden, dass eine Berufung auf die Einheit der Familie auch in Konstellationen - wie vorliegend - möglich ist, wo nicht der Beschwerdeführer selbst hilfsbedürftig ist, sondern eine hilfsbedürftige Person in einem Abhängigkeitsverhältnis zum Beschwerdeführer steht. Die Beschwerdeführenden brachten überzeugend vor, dass der Beschwerdeführer die Vaterrolle des verstorbenen Schwiegersohnes eingenommen hat. Mit Blick auf das Übereinkommen vom 20. November 1989 über die Rechte des Kindes (KRK, SR 0.107) rechtfertigt es sich, beim Anwendungsbereich von Art. 8 EMRK die Kindesinteressen vermehrt zu berücksichtigen (vgl. BGE 135 I 143, 148 E. 2.3). Im Hinblick auf das Kindeswohl ist zu bemerken, dass eine Vaterfigur im Entwicklungsstadium, in welchem sich der jüngste Enkel befindet, äusserst wichtig ist, was für die Annahme eines Abhängigkeitsverhältnisses spricht. Entgegen der Ansicht des BFM steht dieser Feststellung auch die geographische Nähe der beiden involvierten Kantone nicht entgegen. Die Verbindung zwischen dem Grossvater und dem minderjährigen Enkel stellt im vorliegenden Fall somit ein Abhängigkeitsverhältnis im Sinne der oben skizzierten Rechtsprechung dar. Die angefochtene Verfügung verletzt mithin den Grundsatz der Einheit der Familie.</w:t>
      </w:r>
    </w:p>
    <w:p>
      <w:r>
        <w:rPr>
          <w:b/>
        </w:rPr>
        <w:t>E. 4.8</w:t>
      </w:r>
    </w:p>
    <w:p>
      <w:r>
        <w:t>Aus diesen Erwägungen ergibt sich, dass die angefochtene Verfügung Bundesrecht verletzt (Art. 49 Bst. a VwVG). Die Beschwerde ist demnach gutzuheissen und die Verfügung vom 5. Dezember 2012 aufzuheben. Das BFM ist anzuweisen, das Kantonswechselgesuch gutzuheissen und die Beschwerdeführenden dem Kanton Y._______ zuzuweisen.</w:t>
      </w:r>
    </w:p>
    <w:p>
      <w:r>
        <w:rPr>
          <w:b/>
        </w:rPr>
        <w:t>E. 5</w:t>
      </w:r>
    </w:p>
    <w:p>
      <w:r>
        <w:t>Bei diesem Ausgang des Verfahrens sind keine Verfahrenskosten zu erheben.</w:t>
      </w:r>
    </w:p>
    <w:p>
      <w:r>
        <w:rPr>
          <w:b/>
        </w:rPr>
        <w:t>E. 6</w:t>
      </w:r>
    </w:p>
    <w:p>
      <w:r>
        <w:t>Den obsiegenden Beschwerdeführenden ist grundsätzlich eine Parteientschädigung für die ihnen erwachsenen notwendigen und verhältnismässig hohen Kosten zuzusprechen (vgl. Art. 64 Abs. 1 VwVG i.V.m. Art. 37 VGG, Art. 7 des Reglements vom 21. Februar 2008 über die Kosten und Entschädigungen vor dem Bundesverwaltungsgericht [VGKE, SR 173.320.2]). Allerdings ist der Vertreter der Beschwerdeführenden gemäss Angaben in seinem Schreiben vom 9. August 2012 an das BFM (vgl. Akten BFM act. A8) unentgeltlich für die Beschwerdeführenden tätig, weshalb nicht davon auszugehen ist, dass diesen durch die Beschwerdeführung verhältnismässig hohe Kosten erwachsen sind.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