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D-5936/2012 vom 4. Dezember 2012</w:t>
      </w:r>
    </w:p>
    <w:p>
      <w:r>
        <w:t>Bundesverwaltungsgericht, 2012-12-04, DE</w:t>
      </w:r>
    </w:p>
    <w:p>
      <w:r>
        <w:rPr>
          <w:b/>
        </w:rPr>
        <w:t xml:space="preserve">Quelle: </w:t>
      </w:r>
      <w:r>
        <w:t>https://mcp.opencaselaw.ch/entscheid/bvger_D-5936_2012</w:t>
      </w:r>
    </w:p>
    <w:p>
      <w:r>
        <w:t>FR: TAF D-5936/2012 du 4 décembre 2012</w:t>
      </w:r>
    </w:p>
    <w:p>
      <w:r>
        <w:t>IT: TAF D-5936/2012 del 4 dicembre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AsylG).Gestützt auf Art. 111a Abs. 1 AsylG wurde vorliegend auf die Durchführung eines Schriftenwechsels verzichtet.</w:t>
      </w:r>
    </w:p>
    <w:p>
      <w:r>
        <w:rPr>
          <w:b/>
        </w:rPr>
        <w:t>E. 4</w:t>
      </w:r>
    </w:p>
    <w:p>
      <w:r>
        <w:t>Die Verfügung des BFM ist, soweit sie die Fragen des Asyls und der Flüchtlingseigenschaft betrifft (vgl. Dispositivziffern 1 und 2 der angefochtenen Verfügung), mangels Anfechtung in Rechtskraft erwachsen. Die verfügte Wegweisung als solche (vgl. Ziffer 3 des Dispositivs der vorinstanzlichen Verfügung), welche die Regelfolge der Ablehnung eines Asylgesuches bildet (Art. 44 Abs. 1 AsylG), kann nur dann aufgehoben werden, wenn ein Anspruch auf Erteilung einer Aufenthaltsbewilligung besteht (vgl. BVGE 2009/50 E. 9 sowie Entscheidungen und Mitteilungen der Schweizerischen Asylrekurskommission [EMARK] 2001 Nr. 21). Aufgrund der Akten ergibt sich nach wie vor kein solcher Anspruch. Gegen-stand des vorliegenden Beschwerdeverfahrens bildet daher lediglich die Frage, ob das BFM den Vollzug der Wegweisung zu Recht angeordnet hat (vgl. Art. 44 Abs. 2 AsylG) beziehungsweise, ob dem Rechtsbegehren entsprechend infolge Unzumutbarkeit anstelle des Vollzugs der Wegweisung die vorläufige Aufnahme anzuordnen ist (Art. 44 Abs. 2 AsylG i.V.m. Art. 83 Abs. 1 und 4 des Bundesgesetzes vom 16. Dezember 2005 über die Ausländerinnen und Ausländer [AuG, SR 142.20]).</w:t>
      </w:r>
    </w:p>
    <w:p>
      <w:r>
        <w:rPr>
          <w:b/>
        </w:rPr>
        <w:t>E. 5.1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AuG).</w:t>
      </w:r>
    </w:p>
    <w:p>
      <w:r>
        <w:rPr>
          <w:b/>
        </w:rPr>
        <w:t>E. 5.2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5.2.1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2009/51 E. 5.5 S. 748, BVGE 2009/52 E. 10.1 S. 756 f.).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BVGE 2009/28 E. 9.3.1 S. 367).</w:t>
      </w:r>
    </w:p>
    <w:p>
      <w:r>
        <w:rPr>
          <w:b/>
        </w:rPr>
        <w:t>E. 5.2.2</w:t>
      </w:r>
    </w:p>
    <w:p>
      <w:r>
        <w:t>Das BFM begründete die Anordnung des Wegweisungsvollzugs damit, dass weder die im Heimatstaat herrschende politische Situation noch andere Gründe gegen die Zumutbarkeit der Rückführung sprechen würden. Es handle sich beim Beschwerdeführer um einen jungen und gesunden Mann. Er habe die letzten fünf Jahre bei zwei verschiedenen Onkeln im Kosovo gelebt. Zudem lebten seine Mutter und vier Geschwister in Deutschland und könnten ihn finanziell unterstützen. Deshalb könne dem Beschwerdeführer zugemutet werden, wieder in den Kosovo zurückzukehren. Ausserdem sei der Vollzug der Wegweisung technisch möglich und praktisch durchführbar.</w:t>
      </w:r>
    </w:p>
    <w:p>
      <w:r>
        <w:rPr>
          <w:b/>
        </w:rPr>
        <w:t>E. 5.2.3</w:t>
      </w:r>
    </w:p>
    <w:p>
      <w:r>
        <w:t>Demgegenüber macht der Beschwerdeführer in seiner Beschwerdeschrift im Wesentlichen geltend, laut Rechtsprechung müsse vorliegend durch Untersuchungen vor Ort abgeklärt werden, ob die sogenannten Reintegrationskriterien als gegeben erachtet werden könnten.</w:t>
      </w:r>
    </w:p>
    <w:p>
      <w:r>
        <w:rPr>
          <w:b/>
        </w:rPr>
        <w:t>E. 5.2.4</w:t>
      </w:r>
    </w:p>
    <w:p>
      <w:r>
        <w:t>Das Bundesverwaltungsgericht geht in seiner Praxis davon aus, dass der Vollzug der Wegweisung von albanischsprachigen Roma, Ashkali und "Ägyptern" in den Kosovo in der Regel zumutbar ist, sofern aufgrund einer Einzelfallabklärung (insbesondere durch Untersuchungen vor Ort; heute über die Schweizerische Botschaft, früher via das sogenannte Verbindungsbüro) feststeht, dass bestimmte Reintegrationskriterien - wie berufliche Ausbildung, Gesundheitszustand, Alter, ausreichende wirtschaftliche Lebensgrundlage und Beziehungsnetz im Kosovo - erfüllt sind (vgl. BVGE 2007/10). Damit wird die Rechtsprechung der ehemaligen ARK fortgeführt (vgl. EMARK 2006 Nr. 10 und 11). Das Bundesverwaltungsgericht hält auch nach der Unabhängigkeitserklärung von Kosovo, dessen Anerkennung durch die Schweiz sowie der Qualifikation durch den Bundesrat als "Safe Country" an dieser Rechtsprechung grundsätzlich fest. Die Situation der Minderheiten hat sich betreffend Arbeitsmarkt und diskriminierungsfreiem Zugang zu öffentlichen Leistungen wie Ausbildung, Justiz oder medizinischer Versorgung seit der Unabhängigkeit nicht grundlegend verbessert. Die ethnischen Minderheiten werden zwar nicht kollektiv verfolgt und sind nur in Einzelfällen Opfer von schweren Gewaltakten; von einer ernsthaften Gefahr für Leib und Leben allein aufgrund der ethnischen Zugehörigkeit ist nicht zu sprechen. Allerdings sind die Minderheitenangehörigen im Alltag oft Opfer mannigfaltiger Formen von Diskriminierungen. Es besteht eine Diskrepanz zwischen der Rechtslage, welche Diskriminierungen verbietet, und der Realität. Die Angehörigen der Minderheiten sind von der höchsten Armuts-, Arbeitslosen-, Schulabbruch- und Sterblichkeitsrate in Kosovo betroffen.</w:t>
      </w:r>
    </w:p>
    <w:p>
      <w:r>
        <w:rPr>
          <w:b/>
        </w:rPr>
        <w:t>E. 5.2.5.1</w:t>
      </w:r>
    </w:p>
    <w:p>
      <w:r>
        <w:t>Die Vorinstanz ist in der angefochtenen Verfügung von der Zumutbarkeit des Wegweisungsvollzugs ausgegangen, ohne die Zumutbarkeitskriterien im Rahmen einer Einzelfallabklärung vor Ort vertieft geprüft zu haben. Das Urteil BVGE 2007/10 verlangt zwar nicht in jedem Fall zwingend - etwa als formelle und materielle Bedingung einer hinreichenden Erstellung des rechtserheblichen Sachverhaltes - eine Einzelfallabklärung vor Ort. Ein Entscheid soll sich aber nicht bloss auf Angaben der Asylsuchenden - welche sich in der Regel auf die rudimentäre Bekanntgabe naher Angehöriger und ausgeübter Berufstätigkeit beschränken - stützen, sondern auf eine konkrete Analyse der Situation vor Ort, welche ein genaueres Bild der herrschenden Verhältnisse vermitteln kann. Vorliegend hat das BFM die Frage der Zumutbarkeit des Wegweisungsvollzugs einzig aufgrund der Angaben des Beschwerdeführers geprüft. Dadurch ist jedoch in ungenügender Weise abgeklärt, ob er sich in seiner Heimat auf ein soziales Netzwerk abstützen kann und ob eine ausreichende wirtschaftliche Lebensgrundlage besteht. Gerade vor dem Hintergrund, wonach der Beschwerdeführer geltend machte, er habe sich bis im Jahre 2007 in der Bundesrepublik Deutschland aufgehalten und danach von Verwandten im Kosovo aushalten lassen, doch sei derlei nicht unbeschränkt möglich (vgl. A3/9 Ziff. 2.04, 3.01 S. 4, Ziff. 7.03 S. 7), hätte sich vorliegend eine Einzelfallabklärung aufgedrängt. Da eine solche nicht vorgenommen wurde, beruht die angefochtene Verfügung auf einem unvollständig festgestellten Sachverhalt.</w:t>
      </w:r>
    </w:p>
    <w:p>
      <w:r>
        <w:rPr>
          <w:b/>
        </w:rPr>
        <w:t>E. 5.2.5.2</w:t>
      </w:r>
    </w:p>
    <w:p>
      <w:r>
        <w:t>Das Bundesverwaltungsgericht entscheidet in der Regel reformatorisch. Nur ausnahmsweise wird eine angefochtene Verfügung kassiert und an die Vorinstanz zurückgewiesen. In casu liegt der Mangel der angefochtenen Verfügung in einer unvollständigen Abklärung des Sachverhalts, und die unterbliebenen notwendigen Abklärungen (vor Ort) stellen eine relativ aufwändige Beweiserhebung dar. In einem solchen Fall rechtfertigt sich eine Kassation der angefochtenen Verfügung. Zudem bleibt dem Beschwerdeführer auf diese Weise der Instanzenzug erhalten, was umso wichtiger ist, als das Bundesverwaltungsgericht im Asylverfahren letztinstanzlich entscheidet.</w:t>
      </w:r>
    </w:p>
    <w:p>
      <w:r>
        <w:rPr>
          <w:b/>
        </w:rPr>
        <w:t>E. 6</w:t>
      </w:r>
    </w:p>
    <w:p>
      <w:r>
        <w:t>Nach dem Gesagten sind die Ziffern 4 und 5 des Dispositivs der angefochtenen Verfügung aufzuheben und die Beschwerde ist bezüglich der Anordnung des Wegweisungsvollzugs gutzuheissen. Das BFM ist anzuweisen, die erforderlichen Abklärungen (vor Ort) vorzunehmen beziehungsweise vornehmen zu lassen und aufgrund des vollständig erstellten und aktualisierten Sachverhalts betreffend den Vollzug der Wegweisung neu zu entscheiden. Angesichts dieser Sachlage kann darauf verzichtet werden, auf die weiteren Beschwerdevorbringen näher einzugehen.</w:t>
      </w:r>
    </w:p>
    <w:p>
      <w:r>
        <w:rPr>
          <w:b/>
        </w:rPr>
        <w:t>E. 7.1</w:t>
      </w:r>
    </w:p>
    <w:p>
      <w:r>
        <w:t>Bei diesem Ausgang des Verfahrens sind keine Kosten zu erheben (Art. 63 Abs. 3 VwVG). Die Gesuche um Gewährung der unentgeltlichen Rechtspflege (Art. 65 Abs. 1 VwVG) und um Verzicht auf die Erhebung eines Kostenvorschusses werden damit gegenstandslos.</w:t>
      </w:r>
    </w:p>
    <w:p>
      <w:r>
        <w:rPr>
          <w:b/>
        </w:rPr>
        <w:t>E. 7.2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Eine Kostennote wurde nicht eingereicht. Auf das Nachfordern einer solchen kann indessen verzichtet werden, da sich der Aufwand für das Beschwerdeverfahren zuverlässig abschätzen lässt (Art. 14 Abs. 2 VGKE). Unter Berücksichtigung der massgebenden Bemessungsfaktoren (Art. 9 - 13 VGKE) und der Entschädigungspraxis in Vergleichsfällen hat das BFM dem Beschwerdeführer eine Parteientschädigung in der Höhe von Fr. 600.- (inkl. Auslagen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