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D-5934/2019 vom 23. April 2021</w:t>
      </w:r>
    </w:p>
    <w:p>
      <w:r>
        <w:t>Bundesverwaltungsgericht, 2021-04-23, DE</w:t>
      </w:r>
    </w:p>
    <w:p>
      <w:r>
        <w:rPr>
          <w:b/>
        </w:rPr>
        <w:t xml:space="preserve">Quelle: </w:t>
      </w:r>
      <w:r>
        <w:t>https://mcp.opencaselaw.ch/entscheid/bvger_D-5934_2019</w:t>
      </w:r>
    </w:p>
    <w:p>
      <w:r>
        <w:t>FR: TAF D-5934/2019 du 23 avril 2021</w:t>
      </w:r>
    </w:p>
    <w:p>
      <w:r>
        <w:t>IT: TAF D-5934/2019 del 23 aprile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w:t>
      </w:r>
    </w:p>
    <w:p>
      <w:r>
        <w:rPr>
          <w:b/>
        </w:rPr>
        <w:t>E. 2</w:t>
      </w:r>
    </w:p>
    <w:p>
      <w:r>
        <w:t>Die Kognition des Bundesverwaltungsgerichts und die zulässigen Rügen richten sich im Asylbereich nach Art. 106 Abs. 1 AsylG.</w:t>
      </w:r>
    </w:p>
    <w:p>
      <w:r>
        <w:rPr>
          <w:b/>
        </w:rPr>
        <w:t>E. 3.1</w:t>
      </w:r>
    </w:p>
    <w:p>
      <w:r>
        <w:t>Mehrfachgesuche, welche innert fünf Jahren nach Eintritt der Rechtskraft des Asyl- und Wegweisungsentscheids eingereicht werden, haben gemäss Art. 111c AsylG schriftlich und begründet zu erfolgen. Die Vor-instanz hat das Gesuch des Beschwerdeführers als Mehrfachgesuch entgegengenommen.</w:t>
      </w:r>
    </w:p>
    <w:p>
      <w:r>
        <w:rPr>
          <w:b/>
        </w:rPr>
        <w:t>E. 3.2</w:t>
      </w:r>
    </w:p>
    <w:p>
      <w:r>
        <w:t>In der Beschwerde werden verschiedene formelle Rügen erhoben, welche vorab zu behandeln sind, da sie allenfalls geeignet sein könnten, eine Kassation der vorinstanzlichen Verfügung zu bewirken.</w:t>
      </w:r>
    </w:p>
    <w:p>
      <w:r>
        <w:rPr>
          <w:b/>
        </w:rPr>
        <w:t>E. 3.3</w:t>
      </w:r>
    </w:p>
    <w:p>
      <w:r>
        <w:t>Der Beschwerdeführer rügte, das rechtliche Gehör sei verletzt worden, weil die Vorinstanz es unterlassen habe, die eingereichten Beweismittel eingehend zu würdigen und eine Dokumentenanalyse durchzuführen. Zudem sei in willkürlicher Weise nach dem Einreichen seines zweiten Asylgesuchs drei Jahre zugewartet worden, bis er zu einer Anhörung vorgeladen worden sei. Weiter habe die Vorinstanz ihre Abklärungspflichten in schwerwiegender Weise verletzt und es unterlassen, die Vorbringen des Beschwerdeführers vollständig abzuklären, unter anderem auch, ob er nicht bereits aufgrund seiner illegalen Ausreise aus Syrien die Flüchtlingseigenschaft erfülle.</w:t>
      </w:r>
    </w:p>
    <w:p>
      <w:r>
        <w:rPr>
          <w:b/>
        </w:rPr>
        <w:t>E. 3.4</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3.5</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3.6</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(a.a.O. E. 3.3 m.w.H.).</w:t>
      </w:r>
    </w:p>
    <w:p>
      <w:r>
        <w:rPr>
          <w:b/>
        </w:rPr>
        <w:t>E. 3.7</w:t>
      </w:r>
    </w:p>
    <w:p>
      <w:r>
        <w:t>Eine willkürliche Vorgehensweise im Sinne von Art. 9 BV liegt dann vor,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 2016, S. 137, Rn. 605 m.w.H.).</w:t>
      </w:r>
    </w:p>
    <w:p>
      <w:r>
        <w:rPr>
          <w:b/>
        </w:rPr>
        <w:t>E. 3.8</w:t>
      </w:r>
    </w:p>
    <w:p>
      <w:r>
        <w:t>Einleitend ist festzuhalten, dass der Beschwerdeführer die Frage zur Feststellung des rechtserheblichen Sachverhalts mit derjenigen der rechtlichen Würdigung vermengt, wenn er beanstandet, der «Haftbefehl» sei nicht gewürdigt und eine Dokumentenanalyse sei unterlassen worden. Die Vorinstanz hat sich sehr wohl mit dem «Haftbefehl» auseinandergesetzt und ist dabei zum Schluss gekommen, dass das kopierte, vorgefertigte Formular des «Haftbefehls» von einer geringen Beweiskraft zeuge. Da kein konkretes Marschaufgebot vorhanden sei, sei dem Grund der Verhaftung, nämlich dem Fernbleiben des Beschwerdeführers nach einem konkreten Marschaufgebot, der Sinn entzogen (vgl. act. A15/4). Es wird zu klären sein, um welche Art Dokument es sich vorliegend handelt (vgl. E. 6.1). Sodann verlangt die Abklärung des rechtserheblichen Sachverhalts nicht zwingend die Durchführung einer Dokumentenanalyse. Auch dem Einwand, es hätte zur Klärung des rechtserheblichen Sachverhaltes eine weitere Anhörung angesetzt werden müssen, ist verfehlt, zumal Mehrfachgesuche innerhalb von fünf Jahren nach Eintritt der Rechtskraft des Asyl- und Wegweisungsentscheids schriftlich einzureichen sind und nicht zwingend eine Anhörung anzusetzen ist (vgl. Art. 111c Abs. 1 AsylG), weshalb sich der Beschwerdeführer nicht darauf berufen kann, persönlich angehört zu werden. Dasselbe gilt hinsichtlich der Rüge, zwischen dem Einreichen seines zweiten Asylgesuchs und der Anhörung seien in willkürlicher Weise drei Jahre vergangen, zumal eine lange Verfahrensdauer an sich keine Gehörsverletzung darstellt. Es wäre dem Beschwerdeführer offen gestanden, eine Verfahrensstandanfrage oder gegebenenfalls eine Rechtsverzögerungsbeschwerde einzureichen.</w:t>
      </w:r>
    </w:p>
    <w:p>
      <w:r>
        <w:rPr>
          <w:b/>
        </w:rPr>
        <w:t>E. 3.9</w:t>
      </w:r>
    </w:p>
    <w:p>
      <w:r>
        <w:t>Angesichts der vorangehenden Erwägungen kommt das Bundesverwaltungsgericht zum Schluss, dass keine formellen Verfahrensfehler festzustellen sind und die Rügen des Beschwerdeführers als unbegründet zurückzuweisen sind. Der in der Beschwerdeschrift beantragten Rückweisung der Sache an die Vorinstanz zur Neubeurteilung ist demnach der Boden entzogen, weshalb das Gericht in der Sache selbst entscheidet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im Wesentlichen damit, die Schilderungen des Beschwerdeführers hinsichtlich der Probleme seines Onkels nach Abgabe des auf ihn ausgestellten Haftbefehls sowie sämtliche Ereignisse rund um den Reservedienst seien oberflächlich und ausweichend ausgefallen, weshalb den Vorbringen nicht geglaubt werden könne. Zudem habe er nicht nachvollziehbar erklären können, weshalb der am 17. April 2016 ausgestellte Haftbefehl (den Beschwerdeführer betreffend) seinem Onkel erst Ende Juli 2016 ausgehändigt worden sei. Weiter habe er erklärt, dieses Dokument sei ein Aufgebot für den Reservedienst. Mit dem Widerspruch konfrontiert, dass es sich bei dem Schriftstück um einen Haftbefehl und nicht um ein Aufgebot handle, habe er erklärt, bereits im Rahmen seines ersten Beschwerdeverfahrens eine «blaue Karte» abgegeben zu haben, welche das Aufgebot zum Reservedienst sei. Da jedoch das Bundesverwaltungsgericht im Urteil D-5522/2014 vom 22. Februar 2016 diese «blaue Karte» nicht als Aufgebot zum Reservedienst, sondern als Mobilisierungsbenachrichtigung respektive Reservistenkarte deklariert habe, würde kein konkretes Aufgebot vorliegen und dem Inhalt des Haftbefehls, nämlich das Nichtbefolgen des Aufgebots, sei der Sinn entzogen. Somit liege der Schluss nahe, dass der eingereichte Haftbefehl nicht von einer Behörde ausgestellt worden sei. In Anbetracht dessen, dass syrische Militärdokumente über keine Sicherheitsmerkmale verfügten und somit leicht fälschbar seien, müsse von einem äusserst geringen Beweiswert ausgegangen werden. Insgesamt habe er nicht überzeugend darlegen können, dass er zum Reservedienst aufgeboten und in der Folge wegen Nichtleisten desselben per Haftbefehl gesucht werde.</w:t>
      </w:r>
    </w:p>
    <w:p>
      <w:r>
        <w:rPr>
          <w:b/>
        </w:rPr>
        <w:t>E. 5.2</w:t>
      </w:r>
    </w:p>
    <w:p>
      <w:r>
        <w:t>Der Beschwerdeführer bemängelte, die Vorinstanz habe in ihrer Glaubhaftigkeitsprüfung nicht berücksichtigt, dass er keine Details hinsichtlich der Übergabe des Haftbefehls habe erwähnen können, da er bei der Abgabe nicht persönlich dabei gewesen sei. Zudem würden drei Jahre zwischen dem Einreichen seines zweiten Asylgesuchs und der Anhörung liegen. Durch das Einreichen der Beweismittel sei eindeutig belegt, dass er den Reservedienst verweigert habe. Weiter habe die Vorinstanz die Tatsache, dass er illegal aus Syrien ausgereist sei und damit gegen spezifische Bestimmungen der syrischen Behörden verstossen habe, unberücksichtigt gelassen. Aufgrund von subjektiven Nachfluchtgründen erfülle er die Flüchtlingseigenschaft. Auch habe er den angeblichen Widerspruch im Zusammenhang mit dem Aufgebot zum Reservedienst aufklären können und das Missverständnis, dass es sich beim im Rahmen des zweiten Asylgesuchs eingereichten Beweismittel um einen Haftbefehl und nicht um ein Aufgebot handle, auflösen können. Überdies müsste die Vorinstanz darüber informiert sein, dass die syrische Regierung aufgrund von Personalmangel bei Rekrutierungen nicht immer rechtskonform vorgehe. In diesem Zusammenhang werde auf verschiedene Berichte der Schweizerischen Flüchtlingshilfe SFH hinsichtlich Zwangsrekrutierungen und Mobilisierung in Syrien hingewiesen. Aus zahlreichen Berichten gehe eindeutig hervor, dass auch Reservisten zwangsrekrutiert würden. Deshalb sei er bei einer Rückkehr nach Syrien einer asylrelevanten Verfolgung ausgesetzt. Im Zusammenhang mit seinen glaubhaften Aussagen hätten der eingereichte Haftbefehl und die Reservistenkarte nicht pauschal als gefälscht qualifiziert werden dürfen. Die Vorinstanz hätte die Beweismittel einer materiellen Prüfung unterziehen müssen. Zusammengefasst sei er nicht nur als Dienstverweigerer, welcher sein Heimatland verlassen habe, sowie als Verräter und Oppositioneller den syrischen Behörden bekannt, sondern stamme aus einer oppositionell aktiven Familie und habe bereits in der Vergangenheit die Aufmerksamkeit der syrischen Behörden auf sich gezogen, weshalb er bei einer Rückkehr nach Syrien einer asylrelevanten Verfolgung ausgesetzt sei.</w:t>
      </w:r>
    </w:p>
    <w:p>
      <w:r>
        <w:rPr>
          <w:b/>
        </w:rPr>
        <w:t>E. 5.3</w:t>
      </w:r>
    </w:p>
    <w:p>
      <w:r>
        <w:t>Die Vorinstanz hielt in ihrer Vernehmlassung fest, dass im Urteil D-5522/2014 vom 22. Februar 2016 das Bundesverwaltungsgericht bereits die Beschwerde abgewiesen habe und zum Schluss gekommen sei, der Beschwerdeführer habe sich keiner Wehrdienstverweigerung schuldig gemacht, da er kein konkretes Aufgebot zum Reservedienst erhalten habe. Demzufolge fehle ein solches, weshalb es offenkundig sei, dass der eingereichte Haftbefehl nicht echt sein könne, zumal es schlichtweg unplausibel sei, einen Haftbefehl für eine Bestätigung zur Zuteilung in den Reservedienst ohne einen Einberufungsbefehl zu erhalten. Weiter überzeuge die Erklärung, dass die Behörden nach Ausstellung eines Haftbefehls zuerst versuchen würden, die betreffende Person zu fassen, bevor der Haftbefehl durch den «Mukthar» an die betroffene Person gehe, in keiner Weise. Es sei nicht nachvollziehbar, weshalb die Behörden erst zwei Monate nach der Ausstellung des Haftbefehls bei seinem Onkel nach ihm gesucht haben sollen. Auch wenn der Beschwerdeführer zu diesem Zeitpunkt nicht anwesend gewesen sei und die Vorfälle bereits einige Zeit zurückliegen würden, seien dies zentrale Elemente seines zweiten Asylgesuchs und es müsse davon ausgegangen werden, dass er diese hätte detaillierter und prägnanter schildern müssen. Schliesslich sei im Zusammenhang mit einer fehlenden Dokumentenanalyse zu erwähnen, dass auch das Bundesverwaltungsgericht in mehreren Urteilen auf die einfache Fälschbarkeit von syrischen Dokumenten hingewiesen habe. Der Verdacht, dass es sich beim Haftbefehl um kein amtliches Dokument handle, zeige sich nicht zuletzt durch die Tatsache, dass ein kopiertes Formular ausgefüllt worden sei.</w:t>
      </w:r>
    </w:p>
    <w:p>
      <w:r>
        <w:rPr>
          <w:b/>
        </w:rPr>
        <w:t>E. 5.4</w:t>
      </w:r>
    </w:p>
    <w:p>
      <w:r>
        <w:t>In der Replik wird erneut darauf hingewiesen, die Vorinstanz habe die eingereichten Beweismittel ungenügend geprüft und werfe dem Beschwerdeführer indirekt vor, er habe gefälschte Dokumente eingereicht. Zudem versuche die Vorinstanz durch ihre ausführliche Stellungnahme ihre schwerwiegenden Verfahrensfehler zu verbessern, obwohl sie sogar die Frist zur Stellungnahme verpasst habe. Es sei nochmals darauf hinzuweisen, dass er die Dokumente aufgrund seiner Abwesenheit nicht habe persönlich entgegennehmen können und deshalb nicht detaillierter darüber erzählen könne. Er habe in Anbetracht der Gesamtumstände glaubhaft darlegen können, als Dienstverweigerer in asylrechtlicher Weise von den syrischen Behörden verfolgt zu werden, wobei davon ausgegangen werden müsse, dass er den syrischen Behörden als Verräter und Oppositioneller seit längerem bekannt gewesen sei.</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Nach einer gründlichen Prüfung und dem Abwägen der glaubhaften gegenüber den unglaubhaften Elementen kommt das Bundesverwaltungsgericht zum Schluss, dass die unglaubhaften Elemente überwiegen. Vor diesem Hintergrund erscheint es insgesamt wenig stringent, dass die Behörden den Beschwerdeführer gesucht haben sollen und er in den Reservedienst hätte eingezogen werden sollen. Des Weiteren wird auf BVGE 2015/3 verwiesen, wonach nach der Einführung von Art. 3 Abs. 3 AsylG die bisherige Rechtspraxis in Bezug auf Personen, die ihr Asylgesuch mit einer Wehrdienstverweigerung oder Desertion im Heimatstaat begründen, weiterhin gültig ist und eine Wehrdienstverweigerung oder Desertion die Flüchtlingseigenschaft nicht per se begründet, sondern nur, wenn eine Verfolgung im Sinne von Art. 3 Abs. 1 AsylG damit verbunden ist, respektive aus in dieser Norm aufgezählten Gründen (Rasse, Religion, Nationalität, Zugehörigkeit zu einer bestimmten sozialen Gruppe oder wegen politischen Anschauungen), welche ernsthaften Nachteilen im Sinne von Art. 3 Abs. 2 AsylG gleichkommt (a.a.O. E. 6.7.2 m.w.H; bestätigt in E-2188/2019, Urteil vom 30. Juni 2020, E.5.1 [als Referenzurteil publiziert]).</w:t>
      </w:r>
    </w:p>
    <w:p>
      <w:r>
        <w:rPr>
          <w:b/>
        </w:rPr>
        <w:t>E. 6.3</w:t>
      </w:r>
    </w:p>
    <w:p>
      <w:r>
        <w:t>Vorliegend kommt das Bundesverwaltungsgericht zum Schluss, dass der Beschwerdeführer auch über kein politisches Profil verfügt. Wie bereits im Urteil D-5522/2014 (vgl. E.5.3 - 5.6) rechtskräftig festgestellt wurde, sind seine Vorfluchtgründe als unglaubhaft beurteilt worden. Seinem Vorbringen, er entstamme einer oppositionell aktiven Familie, kann insofern nicht gefolgt werden, als dass er diese Behauptung erst auf Beschwerdeebene seines zweiten Asylgesuchs geltend machte, ohne diese jedoch näher zu begründen oder mittels Beweismitteln zu untermauern. Gegen die Annahme, seine Familienangehörigen seien politisch aktiv und bekannt gewesen, spricht auch die Tatsache, dass sich einer seiner Brüder, sein Vater und ein Onkel nach seiner Ausreise noch eine Weile unbehelligt von den Behörden in Syrien aufgehalten haben (vgl. act. A11/21, F55 f., F77, F107). Ebensowenig wurde seiner Tante (N [...]) die Flüchtlingseigenschaft zuerkannt. Auch ist seine Schwester (N [...]) bereits im Jahr 2005 als Flüchtling vorläufig aufgenommen worden, ohne dass der Beschwerdeführer in seinem Asylgesuch eine diesbezügliche Verfolgung geltend gemacht hat. Eine Reflexverfolgung ist demnach auszuschliessen. Insgesamt erscheint es unwahrscheinlich, dass der Beschwerdeführer vor seiner Ausreise einem Politmalus ausgesetzt war.</w:t>
      </w:r>
    </w:p>
    <w:p>
      <w:r>
        <w:rPr>
          <w:b/>
        </w:rPr>
        <w:t>E. 6.4</w:t>
      </w:r>
    </w:p>
    <w:p>
      <w:r>
        <w:t>Schliesslich stellt das Gericht fest, dass allein aufgrund der illegalen Ausreise des Beschwerdeführers aus Syrien nicht von einer flüchtlingsrechtlich relevanten Verfolgung - gemäss konstanter Praxis des Bundesverwaltungsgerichts - auszugehen ist (vgl. u. a. die Urteile des BVGer D-1220/2020 vom 3. November 2020 E. 6.6, D-6344/2018 vom 26. Mai 2020 E. 5.5, E-1822/2018 vom 23. Januar 2020 E. 7.6 und E-5788/2017 vom 23. April 2019 E. 6.5, m.w.H.). Infolgedessen sind auch subjektive Nachfluchtgründe zu verneinen.</w:t>
      </w:r>
    </w:p>
    <w:p>
      <w:r>
        <w:rPr>
          <w:b/>
        </w:rPr>
        <w:t>E. 6.5</w:t>
      </w:r>
    </w:p>
    <w:p>
      <w:r>
        <w:t>Zusammenfassend ist festzustellen, dass der Beschwerdeführer weder glaubhaft darzulegen vermochte, aufgrund einer Wehrdienstverweigerung behördlich gesucht zu werden, noch aus einer politisch aktiven Familie zu stammen. Demnach ergibt sich, dass keine asylrechtlich relevanten Verfolgungsgründe im Sinne von Art. 3 AsylG ersichtlich sind. Demzufolge hat die Vorinstanz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Abschliessend ist festzuhalten, dass sich aus den vorstehenden Erwägungen nicht etwa der Schluss ergibt, der Beschwerdeführer sei zum heutigen Zeitpunkt angesichts der Entwicklung in Syrien nicht gefährdet. Jedoch ist eine solche Gefährdungslage unter dem Aspekt von Art. 83 Abs. 4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bereits durch die Vorinstanz mit der Anordnung der vorläufigen Aufnahme wegen Unzumutbarkeit des Wegweisungsvollzugs Rechnung getragen.</w:t>
      </w:r>
    </w:p>
    <w:p>
      <w:r>
        <w:rPr>
          <w:b/>
        </w:rPr>
        <w:t>E. 8</w:t>
      </w:r>
    </w:p>
    <w:p>
      <w:r>
        <w:t>Aus diesen Erwägungen ergibt sich, dass die angefochtene Verfügung Bundesrecht nicht verletzt und der rechtserhebliche Sachverhalt richtig sowie vollständig feststellt wurde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20. November 2019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