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D-5933/2022 vom 11. November 2022</w:t>
      </w:r>
    </w:p>
    <w:p>
      <w:r>
        <w:t>Bundesverwaltungsgericht, 2022-11-11, DE</w:t>
      </w:r>
    </w:p>
    <w:p>
      <w:r>
        <w:rPr>
          <w:b/>
        </w:rPr>
        <w:t xml:space="preserve">Quelle: </w:t>
      </w:r>
      <w:r>
        <w:t>https://mcp.opencaselaw.ch/entscheid/bvger_D-5933_2022_d20221111</w:t>
      </w:r>
    </w:p>
    <w:p>
      <w:r>
        <w:t>FR: TAF D-5933/2022 du 11 novembre 2022</w:t>
      </w:r>
    </w:p>
    <w:p>
      <w:r>
        <w:t>IT: TAF D-5933/2022 del 11 novembre 2022</w:t>
      </w:r>
    </w:p>
    <w:p>
      <w:pPr>
        <w:pStyle w:val="Heading2"/>
      </w:pPr>
      <w:r>
        <w:t>Regeste</w:t>
      </w:r>
    </w:p>
    <w:p>
      <w:r>
        <w:t>Asyl und Wegweisung | Asyl und Wegweisung; Verfügung des SEM vom 11.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Die am (…) geborene Tochter wird in das Verfahren ihrer Eltern einbe- 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Beschwerdeführenden machen zunächst geltend, das SEM habe den Sachverhalt nicht richtig abgeklärt und das rechtliche Gehör verletzt. Diese formellen Rügen sind vorab zu prüfen, da sie zu einer Rückweisung der Sache an die Vorinstanz führen könnten.</w:t>
      </w:r>
    </w:p>
    <w:p>
      <w:r>
        <w:rPr>
          <w:b/>
        </w:rPr>
        <w:t>E. 3.1</w:t>
      </w:r>
    </w:p>
    <w:p>
      <w:r>
        <w:t>Gemäss Art. 12 VwVG stellt die Behörde den Sachverhalt von Amtes wegen fest. Der Untersuchungsgrundsatz findet seine Grenze an der Mit- wirkungspflicht der Asylsuchenden (Art. 8 AsylG; Art. 13 VwVG).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w:t>
      </w:r>
    </w:p>
    <w:p>
      <w:r>
        <w:t>D-5933/2022 Seite 6 Sachverhalt nicht von Amtes wegen abgeklärt, oder nicht alle für den Ent- scheid wesentlichen Sachumstände berücksichtigt hat (vgl. BENJAMIN SCHINDLER, in: Auer/Müller/Schindler [Hrsg.], Kommentar zum Bundesge- setz über das Verwaltungsverfahren [VwVG], 2. Aufl. 2019, Art. 49 N. 29).</w:t>
      </w:r>
    </w:p>
    <w:p>
      <w:r>
        <w:rPr>
          <w:b/>
        </w:rPr>
        <w:t>E. 3.2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3.3</w:t>
      </w:r>
    </w:p>
    <w:p>
      <w:r>
        <w:t>Zur Begründung monieren die Beschwerdeführenden, die Vorinstanz habe auf eine eingehende Prüfung der Gerichtsdokumente, aus welchen eine Verurteilung des Beschwerdeführers zu einer siebenjährigen Haft her- vorgehe, verzichtet und pauschal auf deren leichte Fälschbarkeit verwie- sen, obwohl diesen Dokumenten erhebliche Beweiskraft zukomme. Die Dokumente seien erstmals im Februar 2022 eingereicht, anschliessend übersetzt und im Original nachgereicht worden, was den Aufwand für die Vorinstanz verringert habe. Diese belasse es aber bei einem Verweis auf Unglaubhaftigkeitselemente in den anderen Dokumenten. Die pauschale Begründung, dass den Beweismitteln nur bei Vorliegen eines schlüssigen Sachverhaltes Beweiskraft zukomme, sei nicht mit den Verfahrensgaran- tien vereinbar. Das SEM legte in der Verfügung diverse Zweifel an den durch den Be- schwerdeführer eingereichten Beweismitteln dar. So waren bereits die bei- den Vorladungen an den Beschwerdeführer und seine Schwester mit di- versen Ungereimtheiten behaftet. Dasselbe gilt für den Haftbefehl. Vor die- sem Hintergrund hatte das SEM keine Veranlassung, die zusätzlich einge- reichten und auf den als gefälscht erkannten Beweismitteln aufbauenden Gerichtsdokumente einer eingehenden Würdigung zu unterziehen und das SEM durfte es in antizipierter Beweiswürdigung beim Hinweis auf deren grundsätzliche Fälschbarkeit sowie den nicht schlüssigen Sachverhalt be- lassen. Daran vermag auch nichts zu ändern, dass das SEM im Rahmen der Vernehmlassung und mit Blick auf die Beschwerdevorbringen zur Echt- heit des Haftbefehls weitere Sachverhaltsabklärungen vornahm. Die Be- schwerdeführenden hatten sodann Gelegenheit, sich zu diesen</w:t>
      </w:r>
    </w:p>
    <w:p>
      <w:r>
        <w:t>D-5933/2022 Seite 7 Abklärungen zu äussern. In diesem Zusammenhang ist damit nicht von ei- ner Verletzung des rechtlichen Gehörs auszugehen.</w:t>
      </w:r>
    </w:p>
    <w:p>
      <w:r>
        <w:rPr>
          <w:b/>
        </w:rPr>
        <w:t>E. 3.4</w:t>
      </w:r>
    </w:p>
    <w:p>
      <w:r>
        <w:t>Weiter machen die Beschwerdeführenden in formeller Hinsicht geltend, die Vorinstanz benenne die hinsichtlich der Verfolgung durch den Asayesh angeblich vorliegenden Ungereimtheiten nicht näher. Auch auf die auf- grund der Haft erlittenen gesundheitlichen Probleme gehe sie nicht ein. Es gebe ernsthafte Hinweise, dass der Beschwerdeführer Opfer von Folter oder massiver Misshandlung geworden sei, womit die Beweislast auf die Vorinstanz übergehe. Es sei ein Istanbul-Protokoll zu erstellen oder zumin- dest wäre zu erwarten gewesen, dass er näher zu der Verhaftung befragt werde. Die Vorinstanz wies zwar zunächst etwas pauschal auf diverse Ungereimt- heiten bezüglich der Verhaftung durch den Asayesh hin. Gleich im An- schluss wurde es aber im Zusammenhang mit der fehlenden Führungsrolle an den Demonstrationen konkreter. So führte sie aus, es sei nicht nach- vollziehbar, wie dem Asayesh seine Identifizierung gelungen sein solle und wies darauf hin, dass die Aussagen in den Filmaufnahmen keine Verfol- gung durch den Asayesh im geschilderten Ausmass zu begründen ver- möchten. Ihn näher zur Verhaftung zu befragen oder gar ein Istanbul-Pro- tokoll zu erstellen drängte sich auch angesichts der Gesamtwürdigung der diversen weiteren Umstände, welche gegen die Glaubhaftigkeit des Be- schwerdeführers sprachen, nicht auf.</w:t>
      </w:r>
    </w:p>
    <w:p>
      <w:r>
        <w:rPr>
          <w:b/>
        </w:rPr>
        <w:t>E. 3.5</w:t>
      </w:r>
    </w:p>
    <w:p>
      <w:r>
        <w:t>Wenn in der Beschwerde weiter die Würdigung der Rolle des Be- schwerdeführers an den Demonstrationen durch das SEM in Frage gestellt wird, kann auch hier keine mangelhafte Sachverhaltsfeststellung erkannt werden. Vielmehr handelt es sich um eine materielle Frage, welche im An- schluss zu behandeln ist.</w:t>
      </w:r>
    </w:p>
    <w:p>
      <w:r>
        <w:rPr>
          <w:b/>
        </w:rPr>
        <w:t>E. 3.6</w:t>
      </w:r>
    </w:p>
    <w:p>
      <w:r>
        <w:t>Nach dem Gesagten hat das SEM den Sachverhalt richtig festgestellt und die eingereichten Beweismittel genügend gewürdigt. Das Gericht sieht somit keine Veranlassung, die Sache an die Vorinstanz zurückzuweisen. Der entsprechende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D-5933/2022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die Vorinstanz aus, es sei da- von auszugehen, dass die Wohnungen des Beschwerdeführers beschlag- nahmt worden seien. Von diesen Beschlagnahmungen seien jedoch di- verse Personen betroffen gewesen. Dass es sich dabei um ein Komplott des lokalen Sicherheitsapparats handeln solle, vermöge deshalb nicht zu überzeugen. Ohnehin sei diese Konfiszierung flüchtlingsrechtlich nicht re- levant, da es in erster Linie um finanzielle Interessen gehe. Weiter würden die eingereichten Filmaufnahmen zwar belegen, dass der Beschwerdefüh- rer an den erwähnten Demonstrationen teilgenommen habe. Seine Vor- bringen hinsichtlich der Verfolgung durch den Asayesh wiesen hingegen zu viele Ungereimtheiten auf, sodass sie nicht glaubhaft seien. Seine Aussa- gen betreffend die Organisation und seine Rolle als Organisator dieser De- monstrationen seien ziemlich vage und allgemein ausgefallen. So hätten sie sich über eine WhatsApp-Gruppe organisiert, die Strasse gesperrt, Pa- rolen gerufen und Transparente gezeigt. Es sei nicht erkennbar, inwiefern sich seine Rolle von der Rolle der anderen Demonstrationsteilnehmenden unterschieden habe, und wie es dem Geheimdienst gelungen sein soll, ge- rade die drei Personen als Organisatoren zu identifizieren. Auch aus den Filmaufnahmen liesse sich abgesehen von seiner Präsenz nichts zu seiner Rolle ableiten. Zudem seien in den kurzen Filmaufnahmen keine heiklen Aussagen zu erkennen, die eine Verfolgung im geschilderten Ausmass zu begründen vermöchten. Dass die nicht ausgestrahlten Interviews an das Gericht geschickt worden seien, sei als Schutzbehauptung einzustufen. Die eingereichten Dokumente seien grundsätzlich leicht fälschbar und käuflich erwerbbar und würden so selbst im Original kaum Beweiswert</w:t>
      </w:r>
    </w:p>
    <w:p>
      <w:r>
        <w:t>D-5933/2022 Seite 9 entfalten. Folglich komme solchen Dokumenten nur im Kontext mit einem schlüssigen Sachverhalt Beweiskraft zu, was aber vorliegend, wie nachfol- gend aufgezeigt, nicht gegeben sei. Bei den Polizeivorladungen und dem Haftbefehl handle es sich um kopierte Formulare, welche handschriftlich ausgefüllt und mit Stempeln versehen seien. Das Gerichtsprotokoll und das Urteil lägen nur in Kopie vor. Das Fälschungspotenzial derartiger Doku- mente müsse als nicht unerheblich betrachtet werden, wobei sie auch in- haltliche Ungereimtheiten beinhalten würden. So sei auf der eingereichten Polizeivorladung vom (…) 2021 für das Ausstellungsdatum, MeIdedatum und Startdatum der Untersuchungen als auch zum Datum der Kenntnis- nahme und Unterschrift des Beschwerdeführers jeweils das gleiche Datum aufgeführt. Es sei weiter nicht nachvollziehbar, weshalb ihm die Polizei diese Vorladung anlässlich seines Vorsprechens nachträglich ausgestellt haben solle. Auch die Vorladung seiner Schwester enthalte mehrere inhalt- liche Ungereimtheiten. Als Ausstellungsdatum sei der (…) 2021, 9 Uhr, auf- geführt, während das Urteil des Ermittlungsrichters, welches die Grundlage bilde, auf den gleichen Tag datiert sei. Dies sei insbesondere nicht nach- vollziehbar, da der Beschwerdeführer am (…) 2021 zuhause von der Poli- zei gesucht worden sei. Weiter habe er angegeben, dass seine Schwester mit dem Dokument über die Suche nach ihm informiert worden sei. Auf dem Dokument stehe jedoch nur, dass er sich innerhalb von drei Tagen meIden müsse. Dabei sei auch nicht nachvollziehbar, weshalb seine Schwester als Beschuldigte aufgeführt sei und weshalb eine Mitnahme auf den Polizeiposten nötig gewesen sein sollte. Auch wenn seine Schwester (N […]) im Rahmen ihres Gesuchs um Familienzusammenführung nicht ausführlich zu ihren Asylgründen befragt worden sei, fänden sich in ihren Akten keine Anhaltspunkte, die seine Vorbringen bestätigen würden. Be- züglich des Haftbefehls falle auf, dass er ein Dokument im Original habe einreichen können, das sich gemäss Anrede nicht an ihn richte. Dass die- ses Dokument kurz nach der Ausstellung seinem Anwalt zugestellt worden sei, erscheine wenig plausibel, da der Gesuchte damit ja gewarnt würde und sich der Verhaftung entziehen könnte. Ebenfalls nicht nachvollziehbar sei, weshalb der Haftbefehl vom Personenstandsgericht ausgestellt wor- den sein sollte. Bezüglich der eingereichten Gerichtsdokumente gelte es anzumerken, dass aufgrund des geschilderten Sachverhalts nicht nach- vollziehbar sei, dass er zu einer siebenjährigen Haftstrafe verurteilt worden sei. Auf eine eingehende Prüfung der Gerichtsdokumente könne daher ver- zichtet werden, da solchen Dokumenten ohnehin nur bei Vorliegen eines schlüssigen Sachverhalts eine Beweiskraft zukomme, was vorliegend aber nicht der Fall sei.</w:t>
      </w:r>
    </w:p>
    <w:p>
      <w:r>
        <w:t>D-5933/2022 Seite 10</w:t>
      </w:r>
    </w:p>
    <w:p>
      <w:r>
        <w:rPr>
          <w:b/>
        </w:rPr>
        <w:t>E. 5.2</w:t>
      </w:r>
    </w:p>
    <w:p>
      <w:r>
        <w:t>In der Beschwerde wurde dem entgegengehalten, zum Komplott we- gen seiner verweigerten Zusammenarbeit mit dem Parastin habe der Be- schwerdeführer lediglich einen Zusammenhang vermutet. Auffallend sei je- doch, dass er anders als die restlichen Betroffenen behandelt worden sei, indem er trotz Gerichtsurteil die Wohnung nicht zurückerhalten habe und nicht entschädigt worden sei. Zudem seien er und die späteren Mitorgani- satoren der Demonstrationen verhaftet und zu einer Haftstrafe verurteilt worden. Somit wäre ein Komplott möglich und logisch. Er habe denn auch das Angebot zur Zusammenarbeit mit dem Parastin an beiden Anhörungen mit vielen Realkennzeichen und übereinstimmend beschrieben. Die Vor- instanz habe sich diesbezüglich nicht zur Glaubhaftigkeit geäussert. Selbst wenn die Konfiszierung der Wohnungen an sich aufgrund finanzieller Inte- ressen nicht flüchtlingsrechtlich relevant sein sollte, ergebe sich eine Rele- vanz aus der Gesamtwürdigung aller Umstände, insbesondere den heiklen Aussagen im Fernsehen und der drohenden Haftstrafe. Er sei auch auf- grund seines langen Auslandaufenthaltes in den Fokus der Behörden ge- raten und es sei davon auszugehen, dass die Verweigerung der Rückgabe der Wohnungen politisch motiviert sei. Der Vorwurf der Ungereimtheiten in Bezug auf die Verfolgung durch den Asayesh werde im Entscheid nicht weiter begründet. In beiden Anhörungen habe er seine Verhaftung durch den Asayesh mit einigen Realkennzeichen und übereinstimmend geschildert. Er habe von den intensiven Schlägen berichtet, der Ohnmacht, den Gesprächen und seiner Angst, sie könnten seine Ehre besudeln. Auffallend an der zweiten Anhörung sei, dass er ein- zelne zusammenhängende Elemente («wie beispielsweise eine Art von Wasser getrunken» oder «wieder zu Bewusstsein») ungeordnet wieder- gebe, ohne dass dabei gegen die logische Konsistenz verstossen werde. Er habe berichtet, dass es sein könne, dass man ihn nackt aufgenommen und irgendetwas mit ihm gemacht habe. Die Abholung durch den Schwie- gervater habe er an beiden Anhörungen übereinstimmend geschildert. Auch seine Frau habe zu Protokoll gegeben, dass er eine Nacht lang fest- gehalten worden sei und ihr Vater ihn dann abgeholt habe. Ausserdem sei sie im zweiten Monat schwanger gewesen und habe ihr Kind wohl aufgrund dieser Umstände verloren. Der Fachspezialist habe es unterlassen, wäh- rend den Anhörungen, weitere Fragen zur Festnahme und der Gewaltan- wendung durch den Asayesh zu stellen. Die Vorinstanz habe ausgeführt, dass sich der Beschwerdeführer nicht von anderen Teilnehmenden der Demonstration unterschieden habe, dies ob- wohl er die Parolen skandiert habe. Zum Beweis seiner Rolle als</w:t>
      </w:r>
    </w:p>
    <w:p>
      <w:r>
        <w:t>D-5933/2022 Seite 11 Organisator reichte er einen Chat mit dem (…)-Mitarbeiter ein, aus dem ersichtlich sei, dass er bezüglich der Veröffentlichung des Videos beim Sender nachhake. Er habe an der Anhörung ausführlich erklärt, wie sie die Demos über einen Chat organisiert hätten, und dabei seine Angaben auch spontan korrigiert. Er habe eine Person der Gruppe überzeugen können, ihm ein Video des Chats zu schicken, obwohl dies für den Absender ge- fährlich sein könne. Im Chat sei erkennbar, dass er «A._______» sich re- gelmässig am Chat beteiligt habe. Bei einer Gesamtwürdigung seiner Aus- sagen und unter Einbezug der neuen Beweismittel bestätige sich seine Rolle als Organisator. Zur Identifikation der Organisatoren durch die Be- hörden habe er bereits an der Anhörung ausgeführt, sie seien wohl verra- ten worden. Dies sei von der Vorinstanz nicht gewürdigt worden. Näheres wisse er nicht. Hätte er die Informationsquellen und Wege des Geheim- dienstes gekannt, hätte er ja darauf achten können, nicht identifiziert zu werden. Anzumerken sei jedoch, dass es die Aufgabe des Geheimdienstes sei, Verräter und Regimegegner zu entlarven. Die Namen ausfindig zu ma- chen, könne in einem korrupten System anders als in der Schweiz nicht allzu schwierig sein. Allein durch das Skandieren der Parolen an vorderster Front habe er sich als Anführer der Demonstrierenden zu erkennen gege- ben, sodass er während der Demo habe identifiziert werden können. Er habe nicht darauf geachtet, von den Behörden nicht gesehen zu werden. Auf den eingereichten Filmaufnahmen habe er entgegen der Ansicht des SEM sehr wohl heikle Aussagen von sich gegeben. Er habe gemäss sei- nen Angaben in der Anhörung über die Korruption der Regierung berichtet und dass ihnen die Rechte geraubt worden seien. Wichtig sei auch, dass ihm nicht alle Videos vorlägen, welche ausgestrahlt oder allenfalls dem Ge- richt zugespielt worden seien. Es gäbe verschiedene Vorfälle und Berichte darüber, welcher Gefahr Menschen ausgesetzt würden, wenn sie öffentlich die Regierung kritisieren würden. Er habe zudem schon vor den Filmauf- nahmen im Fokus der Behörden gestanden, nachdem er bei seiner Rück- kehr vom Parastin kontaktiert worden sei, sich gerichtlich gegen die Kon- fiszierung gewehrt und zu Demonstrationen aufgerufen habe. Es sei eine Gesamtwürdigung zu machen. Dass die Interviews mit den Fernsehkanä- len der Regierung nicht ausgestrahlt, sondern dem Gericht weitergeleitet worden seien, überrasche angesichts seiner regierungskritischen Aussa- gen nicht und sei somit keine Schutzbehauptung. Im eingereichten Ge- richtsurteil würden die offenen Hinweise und die Videoaufnahmen, sowie die Beweise, die über den Verdächtigen vorlägen, erwähnt. An der Anhö- rung habe er zudem bereits ausgeführt, dass sein Anwalt ihn auf geheime Beweise hingewiesen habe. Der oben erwähnte Chat mit dem (…) belege</w:t>
      </w:r>
    </w:p>
    <w:p>
      <w:r>
        <w:t>D-5933/2022 Seite 12 zudem, dass ein Interview auch auf einem Kanal der Opposition ausge- strahlt worden sei. Polizeivorladungen und Haftbefehle würden im Irak üblicherweise mit sol- chen Formularen ausgestellt und von Hand vervollständigt. Zum einheitli- chen Datum auf der Vorladung und deren nachträglichen Ausstellung sei anzumerken, dass sich die polizeiliche Struktur und Arbeitsweise im Irak von der hiesigen unterscheide. Für den Anruf beim Beschwerdeführer und die Vorladung sei noch kein schriftliches Dokument nötig gewesen, wohl aber für die gesetzliche Beschuldigung und offizielle Meldung sowie allfäl- lige weitere Verfahrensschritte. Es sei gut vorstellbar, dass der Beamte sich erst am Tag der Vorsprache mit der Administration auseinandergesetzt habe. Die Mitnahme der Schwester auf den Posten sei wohl administrativer Natur gewesen. Denkbar wäre zum Beispiel, dass die Polizei keine Formu- lare bei sich gehabt habe. Die lokale Polizei habe die Bestätigung der Schwester zur Übermittlung der Informationen für die weiteren Verfahrens- schritte benötigt. Der Widerspruch zwischen «suchen» und «sich melden müssen» sei konstruiert. Dass er sich binnen 3 Tagen melden müsse, im- pliziere ja, dass die Polizei ihn suche. Beim Verfahren der Schwester in der Schweiz habe es sich, wie von der Vorinstanz richtig ausgeführt, nicht um ein Asylverfahren, sondern um ein Verfahren der Familienzusammenfüh- rung gehandelt, sodass die fehlenden Hinweise auf seine Vorbringen nicht gegen ihn sprächen. Haftbefehle würden im Irak jeweils nicht nur die ver- schiedenen Behörden, sondern mehrere Personen, unter anderem auch der Anwalt des Beschuldigten erhalten. Mit dem Haftbefehl werde dem Be- schuldigten auch die Möglichkeit eingeräumt, sich den Behörden zu stel- len. Haftbefehle würden aber nicht nur an die involvierten Personen gesen- det, sondern sie würden gar veröffentlicht (Beispiel: https://www.y- outube.com/watch?app=desktop&amp;v=-LiA2GSYs9s). Es sei üblich, dass der Beschuldigte vom Haftbefehl erfahre. Auch wenn dies den Beschuldigten zur Flucht bewege, hätten die Behörden ihr Ziel unter Umständen erreicht, da weitere Proteste verhindert würden. Ausserdem sei der Beschwerde- führer bereits vorher durch seine eigene Vorsprache und die Suche bei der Schwester gewarnt gewesen. Dass er durch die Zustellung an den Anwalt gewarnt worden wäre, leuchte deshalb nicht ein.</w:t>
      </w:r>
    </w:p>
    <w:p>
      <w:r>
        <w:rPr>
          <w:b/>
        </w:rPr>
        <w:t>E. 5.3</w:t>
      </w:r>
    </w:p>
    <w:p>
      <w:r>
        <w:t>In seiner Vernehmlassung hielt das SEM fest, das mit der Beschwerde eingereichte Video zeige zwar einen Chatverlauf einer WhatsApp-Gruppe, jedoch sei der Inhalt der einzelnen Nachrichten nicht sichtbar und somit nicht nachvollziehbar. Der Screenshot des Chatverlaufs mit dem (…) zeige eine Konversation, gemäss welcher ein Bericht über die Versammlung um</w:t>
      </w:r>
    </w:p>
    <w:p>
      <w:r>
        <w:t>D-5933/2022 Seite 13 sechs Uhr veröffentlicht werde (vgl. die der Vernehmlassung beiliegende Übersetzung). Die Inhalte der Interviews (vgl. die der Vernehmlassung bei- liegende Übersetzung) seien nicht geeignet, um eine Verfolgung im ge- schilderten Ausmass als wahrscheinlich zu erachten. Dass es noch weitere Fernsehaufnahmen gebe, könne nicht verifiziert werden und sei vielmehr als Schutzbehauptung einzustufen. Insbesondere die Glaubhaftigkeit der geltend gemachten Vorbringen im Anschluss an die Fernseh-Interviews werde angezweifelt. Wie er angebe und wie auch aus der eingereichten Vorladung ersichtlich werde, habe der Beschwerdeführer der Vorladung Folge geleistet. Dass dann fünf Tage später seine Schwester vorgeladen worden sein solle, erscheine wenig plausibel, zumal die Vorladung inhaltli- che und formale Fragen aufwerfe. Zusätzlich zu den in der Verfügung be- reits aufgezählten Elementen, falle auf, dass beide Polizeivorladungen den gleichen Schattenwurf beim Logo aufweisen würden, obwohl das abgebil- dete Logo auf anderen Dokumenten keinen solchen Schattenwurf enthalte. Beim eingereichten Haftbefehl falle auf, dass dieser – im Gegensatz zu den Polizeivorladungen – auf Arabisch verfasst sei, obwohl sowohl Vorlagen auf Kurdisch wie auch auf Arabisch vorhanden seien und sich die Sprache in der Regel nach dem Adressaten richte. Zudem sei nicht nachvollziehbar, weshalb der Haftbefehl von einem Zivilstandsgericht ausgestellt worden sein sollte, zumal als Grund eine Strafsache (Verstoss gegen Artikel 226) angegeben werde. In den eingereichten Gerichtsdokumenten fänden sich denn auch keine Verweise auf ein Zivilstandsgericht. Weiter sei die auf dem Haftbefehl aufgeführte Rechtsgrundlage unvollständig und der Stempel entspreche keinem bekannten Vergleichsmaterial. Zudem sei im Gerichts- urteil aufgeführt, dass ein Haftbefehl gegen den Beschwerdeführer zu er- lassen sei – was aber anhand des bereits vorhandenen Haftbefehls über- flüssig wäre. Schliesslich weise der Haftbefehl mehrere sprachliche Män- gel auf, was insbesondere unter Berücksichtigung der Tatsache, dass es sich beim eingereichten Dokument um ein vorgedrucktes Formular handle, auffällig sei. Sicherheitshalber sei ein internes Consulting in Auftrag gege- ben worden. Dieses bestärke die Zweifel an der Echtheit des Haftbefehls weiter. Eine Zusammenfassung der Erkenntnisse des Consultings lag der Ver- nehmlassung bei. Darin wird festgehalten, dass im Unterschied zu den vo- rausgegangenen Vorladungen der Haftbefehl auf Arabisch ausgestellt wor- den sei. Zwar würden in der IRK (Irakische Region Kurdistan; Anm. des Gerichts) Versionen auf Arabisch und Kurdisch verwendet, erstere jedoch primär bei arabischsprachigen Adressaten. Der vorliegende Stempel ent- spreche keinem verbürgtem Vergleichsmaterial für kurdische Haftbefehle</w:t>
      </w:r>
    </w:p>
    <w:p>
      <w:r>
        <w:t>D-5933/2022 Seite 14 aus Dohuk. Die für den Haftbefehl aufgeführte Rechtsgrundlage sei unvoll- ständig. Das Logo im Dokumentenkopf entspreche nicht dem Vergleichs- material. Der Textvordruck entspreche in weiten Teilen dem arabischen Vergleichsmaterial aus der IRK, enthalte jedoch mehrere sprachliche Ab- weichungen. Die Häufung sprachlicher Abweichungen auf einem als Vor- druck existierenden Formular sei auffällig, zumal sie auf verbürgtem Ver- gleichsmaterial nicht aufträten. Es sei unklar, wie die Person in den Besitz des Haftbefehls gekommen sei. Zweifel an der Authentizität des vorgeleg- ten Haftbefehls bestünden insbesondere aus dem Grund, dass er in dieser Strafsache von einem Zivilstandsgericht erlassen worden sein solle.</w:t>
      </w:r>
    </w:p>
    <w:p>
      <w:r>
        <w:rPr>
          <w:b/>
        </w:rPr>
        <w:t>E. 5.4</w:t>
      </w:r>
    </w:p>
    <w:p>
      <w:r>
        <w:t>In der Replik wurde dem entgegengehalten, die intensive Beteiligung des Beschwerdeführers in der Chat-Gruppe sei deutlich zu erkennen. Es ergebe sich daraus deutlich, dass er eine tragende Rolle in der Organisa- tion der Demonstrationen gespielt habe. Die Vorinstanz anerkenne sodann auch seine aktive Beteiligung an den Protesten. Der Beschwerdeführer be- schuldige die Regierung öffentlich, an ungerechtfertigter Bereicherung durch die Enteignung der Grundstücke zumindest beteiligt gewesen zu sein. Entgegen der Ansicht der Vorinstanz seien die Aussagen in den In- terviews, welche im Fernsehen ausgestrahlt worden seien und als Beweis- mittel vorlägen, sehr wohl dazu geeignet eine Verfolgung durch den Staat im geschilderten Ausmass zu begründen. Zudem sei darauf hinzuweisen, dass die Probleme, welche er im ersten Asylverfahren 2015 geltend ge- macht habe, weiterhin bestünden. Sein Bruder sei nach wie vor im Gefäng- nis. Zudem würden sich die Sicherheitsbehörden bei seinen Eltern nach ihm erkundigen und nach seinem Aufenthaltsort fragen.</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 tlichen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w:t>
      </w:r>
    </w:p>
    <w:p>
      <w:r>
        <w:t>D-5933/2022 Seite 15 Umstände gegen die vorgebrachte Sachverhaltsdarstellung sprechen (vgl. BVGE 2015/3 E. 6.5.1; 2013/11 E. 5.1; 2012/5 E. 2.2; 2010/57 E. 2.3).</w:t>
      </w:r>
    </w:p>
    <w:p>
      <w:r>
        <w:rPr>
          <w:b/>
        </w:rPr>
        <w:t>E. 6.2</w:t>
      </w:r>
    </w:p>
    <w:p>
      <w:r>
        <w:t>Zunächst gilt es vorliegend festzuhalten, dass aufgrund der zahlreichen eingereichten Beweismittel als glaubhaft zu erkennen ist, dass sich der Be- schwerdeführer gegen die Beschlagnahmung seiner Wohnungen gericht- lich gewehrt, im Anschluss an Demonstrationen teilgenommen und sich schliesslich im Fernsehen öffentlich dazu geäussert hat. Dass solches Vor- gehen eine harte Reaktion der nordirakischen Behörden nach sich ziehen kann, ist im irakischen Kontext nicht ausgeschlossen. Es erscheint sodann auch plausibel, dass er sich während des Interviews gegen Korruption aus- gesprochen und die Regierung angeprangert hat, diese Sequenzen dann aber nicht vollständig ausgestrahlt wurden. Der Themenkomplex Korrup- tion gilt in der IRK als Tabuthema. So sind Medienschaffende festgenom- men, eingeschüchtert, bedroht, geschlagen oder wegen Diffamierung an- geklagt worden, nachdem sie über Korruptionsfälle berichtet hatten. Des- wegen ist Investigativ-Journalismus zu Korruption selten, auch durch un- abhängige oder der Opposition nahestehende Medien. Medienschaffende üben Selbstzensur, wenn sie über Korruption in Verbindung mit einflussrei- chen Politikern, ihren Familien oder Stammesführern oder über Religion und soziale Ungleichheit berichten (vgl. Freedom House, Freedom in the World 2022 – Iraq, 28. Februar 2022; Bertelsmann Stiftung, Bertelsmann Stiftung Transformation Index (BTI) 2022 – Iraq, 23. Februar 2022; Gulf Centre for Human Rights (GCHR) [Beirut/Kopenhagen], Iraqi Kurdistan: Periodic report by the Gulf Centre for Human Rights on human rights vio- lations in the Kurdistan Region, 14. Juni 2021, Committee to Protect Jour- nalists (CPJ), Mountain of Impunity Looms Over Kurdistan Journalists, 22. April 2014). Vor diesem Hintergrund könnten die Aussagen in den In- terviews durchaus geeignet sein, eine Verfolgung durch den Staat bezie- hungsweise deren Repräsentanten im durch den Beschwerdeführer ge- schilderten Ausmass zu begründen.</w:t>
      </w:r>
    </w:p>
    <w:p>
      <w:r>
        <w:rPr>
          <w:b/>
        </w:rPr>
        <w:t>E. 6.3</w:t>
      </w:r>
    </w:p>
    <w:p>
      <w:r>
        <w:t>Dennoch können dem Beschwerdeführer seine Aussagen zur Verhaf- tung durch den Asayesh und den darauffolgenden Vorladungen, dem Haft- befehl und dem Gerichtsurteil nicht geglaubt werden. Erste Zweifel entste- hen wie vom SEM richtig bemerkt, bereits im Zusammenhang mit den Un- gereimtheiten bezüglich der Verhaftung durch den Asayesh. Zweifel ent- stehen zunächst insoweit, ob der Beschwerdeführer bei der Organisation der Demonstrationen tatsächlich eine tragende Rolle innegehabt hat und von den Behörden entsprechend habe identifiziert werden können. Immer- hin ist anzumerken, dass die entsprechenden Ausführungen oberflächlich</w:t>
      </w:r>
    </w:p>
    <w:p>
      <w:r>
        <w:t>D-5933/2022 Seite 16 und ausweichend erscheinen. Aus dem eingereichten Material wird eine Führungsrolle ebenfalls nicht deutlich. Das SEM verwies dabei richtig da- rauf, dass von den Beschlagnahmungen offensichtlich diverse Personen betroffen gewesen seien und sich der Beschwerdeführer nicht massgeblich von den anderen Demonstrationsteilnehmenden unterschieden habe. In der Beschwerde wurden hierzu lediglich wenig überzeugende Mutmassun- gen angestellt, indem ausgeführt wird, sie seien wohl verraten worden. Aus den Aussagen des Beschwerdeführers, dem Skandieren von Parolen und dem mit der Beschwerde eingereichten Chatverlauf, indem er regelmässig teilnahm beziehungsweise sich nach der Sendezeit des Interviews erkun- digte, lässt sich, wie schon vom SEM dargelegt, keine tragende Führungs- rolle ableiten. In gewisser Weise hervorgetan hat sich der Beschwerdefüh- rer zwar durch die Interviews im Fernsehen. Es bleibt aber unklar, ob nur er solche Interviews gegeben hat. Dass die nicht ausgestrahlten Interviews an das Gericht geschickt worden seien, ist wiederum lediglich eine Mut- massung des Beschwerdeführers und nicht weiter belegt. Insbesondere kann aber vom Gericht nicht bestätigt werden, dass der Be- schwerdeführer zur Verhaftung mit Realkennzeichen versehene Aussagen gemacht habe. Vielmehr führte er aus, er könne sich nicht an viel erinnern, da er die meiste Zeit bewusstlos gewesen sei. Auch der in der Beschwerde erwähnte Verweis auf irgendeine Art von Wasser, die er habe trinken müs- sen, und dass sie irgendetwas mit ihm gemacht haben könnten, um seine Ehre zu besudeln, sind weitere Mutmassungen und sprechen für das Ge- richt in ihrer Schleierhaftigkeit nicht für die Glaubhaftigkeit der Aussagen des Beschwerdeführers. Dass die gesundheitlichen Probleme des Be- schwerdeführers mit der angeblichen Haft in Zusammenhang stehen, ver- mag vor diesem Hintergrund ebenfalls nicht zu überzeugen. Dass das Ganze ein Komplott gewesen sei, weil sich der Beschwerdeführer nach seiner Rückkehr im Jahr 2017 nicht dem Parastin anschloss, stellt selbst dieser lediglich als Mutmassung dar, welche wie das SEM aber auch das Gericht schon angesichts des langen Zeitablaufs ohne Zwischenfälle nicht zu überzeugen vermag. Dass er anders als die restlichen Betroffenen be- handelt worden sei, indem er trotz Gerichtsurteil die Wohnung nicht zurück- erhalten habe und nicht entschädigt worden sei, vermag angesichts der zahlreichen Demonstrationsteilnehmenden, denen es offenbar gleich ge- gangen ist, nicht zu überzeugen.</w:t>
      </w:r>
    </w:p>
    <w:p>
      <w:r>
        <w:rPr>
          <w:b/>
        </w:rPr>
        <w:t>E. 6.4</w:t>
      </w:r>
    </w:p>
    <w:p>
      <w:r>
        <w:t>Ganz gewichtige Zweifel an den Vorbringen des Beschwerdeführers entstehen aber vor allem in Zusammenhang mit den durch ihn zu den Ak- ten gereichten Beweismitteln. Das SEM benannte im Rahmen der</w:t>
      </w:r>
    </w:p>
    <w:p>
      <w:r>
        <w:t>D-5933/2022 Seite 17 Verfügung diverse Ungereimtheiten in Bezug auf die Vorladungen und den eingereichten Haftbefehl. Einige Vorhalte wurden zwar in der Beschwerde überzeugend relativiert. So scheint es auch dem Gericht spitzfindig, wenn das SEM im Passus auf der Vorladung, er müsse sich binnen drei Tagen melden, einen Widerspruch zur von ihm erwähnten Suche nach ihm er- blickt. Das weitere Argument des SEM, dass er durch den Haftbefehl ge- warnt worden wäre, vermag angesichts der bereits erfolgten Vorsprache auch das Gericht wenig zu überzeugen. Den übrigen in der Verfügung auf- gezeigten Fälschungsmerkmalen und Ungereimtheiten in den Beweismit- teln wurden in der Beschwerde aber lediglich wenig überzeugende Mut- massungen entgegengehalten. So wurde ausgeführt, die Polizei habe möglicherweise bei der Suche nach dem Beschwerdeführer nicht die rich- tigen Formulare dabeigehabt und deshalb die Schwester mitgenommen. Weiter wurde gemutmasst, es sei gut vorstellbar, dass der Beamte sich erst am Tag der Vorsprache mit der Administration auseinandergesetzt habe, was die nachträgliche Ausstellung der Vorladung anlässlich seines Vor- sprechens erkläre. Die erwähnten Fälschungsmerkmale wurden sodann im Rahmen der Ver- nehmlassung durch ein internes Consulting zum Haftbefehl bestätigt. Das Gericht sieht keine Veranlassung an diesem ausführlich und überzeugend begründeten Consulting zu zweifeln. Im Consulting wurde zunächst fest- gehalten, dass der Haftbefehl auf Arabisch ausgestellt sei, obwohl der Be- schwerdeführer Kurdisch spreche, was nicht dem üblichen Vorgehen ent- spreche. Weiter wurde hervorgehoben, dass das Logo und der Stempel auf dem Haftbefehl nicht dem Vergleichsmaterial entsprächen. Zudem fän- den sich im Dokument mehrere sprachliche Abweichungen und die er- wähnte Rechtsgrundlage sei unvollständig. Insbesondere wurde aber da- rauf hingewiesen, dass das Dokument durch ein Zivilstandsgericht ausge- stellt worden sei, was bei einem Straftatbestand nach Erkenntnissen des Gerichts auch im irakischen Kontext nicht nachvollziehbar ist. Die gesam- ten Erkenntnisse aus diesem Consulting stellen die Aussagen des Be- schwerdeführers deutlich in Frage. Bezeichnenderweise äusserte sich der Beschwerdeführer in der Replik nicht dazu. Vor dem Hintergrund, dass der Beschwerdeführer in Form des angeblichen Haftbefehls gefälschte Be- weismittel zu den Akten gereicht hat, erübrigt sich eine vertiefte Überprü- fung der Gerichtsdokumente auch für das Bundesverwaltungsgericht.</w:t>
      </w:r>
    </w:p>
    <w:p>
      <w:r>
        <w:rPr>
          <w:b/>
        </w:rPr>
        <w:t>E. 6.5</w:t>
      </w:r>
    </w:p>
    <w:p>
      <w:r>
        <w:t>Wenn der Beschwerdeführer in der Replik auf die Probleme, welche er im ersten Asylverfahren 2015 geltend gemacht hatte, verweist, gilt es hierzu anzumerken, dass er diese bis anhin in keiner Weise erwähnt hat,</w:t>
      </w:r>
    </w:p>
    <w:p>
      <w:r>
        <w:t>D-5933/2022 Seite 18 zwischen Heimkehr und Wiederausreise in diesem Zusammenhang also offenbar keine Nachteile erlitten hatte und er zudem damals angegeben hatte, der Bruder sei im Jahr 2009 zu einer zehnjährigen Haftstrafe verur- teilt worden, sodass dieser heute seine Strafe abgesessen haben und nicht mehr im Gefängnis sein sollte. Zudem ist nicht ersichtlich, in welchem Zu- sammenhang diese Probleme mit den Vorbringen im vorliegenden Verfah- ren stehen sollten.</w:t>
      </w:r>
    </w:p>
    <w:p>
      <w:r>
        <w:rPr>
          <w:b/>
        </w:rPr>
        <w:t>E. 6.6</w:t>
      </w:r>
    </w:p>
    <w:p>
      <w:r>
        <w:t>Nach dem Gesagten sind die Vorbringen des Beschwerdeführers zu einer Verfolgung durch die nordirakischen Behörden infolge der Demon- strationen wegen den beschlagnahmten Wohnungen als unglaubhaft zu bewerten. Das SEM hat die Flüchtlingseigenschaft der Beschwerdeführen- den vor diesem Hintergrund zu Recht verneint und deren Asylgesuch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D-5933/2022 Seite 19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 (vgl. Referenzurteil des BVGer E-3737/2015 vom 14. De- zember 2015 E. 6.3 und in letzter Zeit etwa E-3937/2021 vom 14. Juli 2023, E. 7.3, D-374/2022 vom 14. Februar 2023 E. 8.3 oder D-3678/2021 vom 30. Januar 2023 E. 8.3).</w:t>
      </w:r>
    </w:p>
    <w:p>
      <w:r>
        <w:t>D-5933/2022 Seite 20</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seiner gefestigten Praxis zur Frage der Zumutbarkeit des Wegwei- sungsvollzugs hält das Bundesverwaltungsgericht regelmässig fest, dass in den vier Provinzen der ARK ([Autonome Region Kurdistan] Dohuk – wo die Beschwerdeführenden herstammen –, Erbil, Suleimaniya und Halabja) nicht von einer Situation allgemeiner Gewalt im Sinne von Art. 83 Abs. 4 AIG auszugehen ist. Die Anordnung des Wegweisungsvollzugs setzt pra- xisgemäss insbesondere voraus, dass die betreffenden Personen ur- sprünglich aus der Region stammen oder längere Zeit dort gelebt haben und dort über ein soziales Beziehungsnetz (Familie, Verwandtschaft oder Bekanntenkreis) oder über Beziehungen zu den herrschenden Parteien verfügen. Für alleinstehende Frauen und für Familien mit Kindern ist die Zumutbarkeit eines Wegweisungsvollzugs nur mit grosser Zurückhaltung zu bejahen (vgl. Referenzurteil E-3737/2015 vom 14. Dezember 2015 E. 7.4 in Bestätigung von BVGE 2008/5 und in letzter Zeit etwa die Urteile BVGer E-3937/2021 vom 14. Juli 2023, E. 8.2, D-374/2022 vom 14. Feb- ruar 2023 E. 8.4.1 oder D-3678/2021 vom 30. Januar 2023 E. 8.4.1).</w:t>
      </w:r>
    </w:p>
    <w:p>
      <w:r>
        <w:rPr>
          <w:b/>
        </w:rPr>
        <w:t>E. 8.4.2</w:t>
      </w:r>
    </w:p>
    <w:p>
      <w:r>
        <w:t>Das SEM hielt hierzu fest, die Beschwerdeführerin verfüge über ei- nen Universitätsabschluss und der Beschwerdeführer habe nach seiner Rückkehr im Jahr 2017 zunächst für eine Privatschule und später im Im- mobilienbereich gearbeitet, wobei sie selbst ihre finanziellen Verhältnisse als sehr gut beschrieben hätten. Sie hätten zuletzt vor ihrer Ausreise zu- sammen mit den Eltern und einer Schwester des Beschwerdeführers ge- wohnt, wobei die Eltern immer noch an dieser Adresse wohnen würden, womit sie über eine gesicherte Wohnsituation verfügen würden. Zudem würden zahlreiche Verwandte der Beschwerdeführenden in der ARK leben, womit sie über ein tragfähiges Beziehungsnetz verfügen würden. Auch hin- sichtlich des Kindeswohls sei der Wegweisungsvollzug zumutbar, da die Tochter noch sehr jung und davon auszugehen sei, dass nach wie vor die Eltern die primären Bezugspersonen seien und die Integration in der Schweiz angesichts der vergleichsweise kurzen Aufenthaltsdauer noch nicht weit fortgeschritten sei. Auch aus gesundheitlichen Gründen sei der Wegweisungsvollzug zumutbar, zumal die medizinische Versorgung in der</w:t>
      </w:r>
    </w:p>
    <w:p>
      <w:r>
        <w:t>D-5933/2022 Seite 21 ARK als sichergestellt gelte und auch psychische Erkrankungen grund- sätzlich adäquat behandelbar seien.</w:t>
      </w:r>
    </w:p>
    <w:p>
      <w:r>
        <w:rPr>
          <w:b/>
        </w:rPr>
        <w:t>E. 8.4.3</w:t>
      </w:r>
    </w:p>
    <w:p>
      <w:r>
        <w:t>Diese Ausführungen können vom Gericht vollumfänglich bestätigt werden und es kann zur Vermeidung von Wiederholungen auf die vor- instanzlichen Erwägungen verwiesen werden. Dass inzwischen ein zwei- tes Kind der Beschwerdeführenden zur Welt gekommen ist, vermag dies nicht massgeblich in Frage zu stellen. Wenn in der Beschwerde erneut auf die Gefährdung der Beschwerdeführenden aufgrund der drohenden Haft- strafe verwiesen wird, ist auf die obigen Erwägungen zur Glaubhaftigkeit dieser Vorbringen zu verweisen. Dasselbe gilt für die Ausführungen zum Kindeswohl, welches die Beschwerdeführenden aufgrund einer Rückkehr in eine Situation gefährdet sehen, in der sie erneut psychischem Stress ausgesetzt wären und in der die Tochter aufgrund der Haftstrafe für einen grossen Teil ihrer Kindheit ohne Vater aufwachsen müsste.</w:t>
      </w:r>
    </w:p>
    <w:p>
      <w:r>
        <w:rPr>
          <w:b/>
        </w:rPr>
        <w:t>E. 8.4.4</w:t>
      </w:r>
    </w:p>
    <w:p>
      <w:r>
        <w:t>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Nachdem mit Instruk- tionsverfügung vom 13. Januar 2023 das Gesuch um Gewährung der un- entgeltlichen Prozessführung gutgeheissen worden ist, werden keine Kos- ten auferlegt.</w:t>
      </w:r>
    </w:p>
    <w:p>
      <w:r>
        <w:t>D-5933/2022 Seite 22</w:t>
      </w:r>
    </w:p>
    <w:p>
      <w:r>
        <w:rPr>
          <w:b/>
        </w:rPr>
        <w:t>E. 10.2</w:t>
      </w:r>
    </w:p>
    <w:p>
      <w:r>
        <w:t>Mit gleicher Zwischenverfügung wurde das Gesuch um amtliche Ver- beiständung gutgeheissen und die rubrizierte Rechtsvertreterin als amtli- che Rechtsbeiständin eingesetzt. Diese ist unbesehen des Verfahrensaus- gangs zu entschädigen. Sie reichte mit der Beschwerde und der Replik zwei Kostennoten zu den Akten und macht darin einen Aufwand von 23 Stunden und Spesen von Fr. 37.60 geltend. Der zeitliche Aufwand scheint dabei jedoch insbesondere mit Blick auf die Beschwerde nicht vollumfäng- lich notwendig und ist zu kürzen. Mit Hinweis auf Art. 12 i.V.m. Art. 10 Abs. 2 VGKE ist sodann von einem Stundenansatz von Fr. 150.– auszuge- hen (siehe auch in diesem Sinne Zwischenverfügung vom 13. Januar 2023). Das Honorar ist demnach auf insgesamt gerundet Fr. 2’500.– (inkl. Auslagen) festzusetzen.</w:t>
      </w:r>
    </w:p>
    <w:p>
      <w:r>
        <w:t>(Dispositiv nächste Seite)</w:t>
      </w:r>
    </w:p>
    <w:p>
      <w:r>
        <w:t>D-5933/2022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