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D-5931/2011 vom 13. Dezember 2012</w:t>
      </w:r>
    </w:p>
    <w:p>
      <w:r>
        <w:t>Bundesverwaltungsgericht, 2012-12-13, DE</w:t>
      </w:r>
    </w:p>
    <w:p>
      <w:r>
        <w:rPr>
          <w:b/>
        </w:rPr>
        <w:t xml:space="preserve">Quelle: </w:t>
      </w:r>
      <w:r>
        <w:t>https://mcp.opencaselaw.ch/entscheid/bvger_D-5931_2011</w:t>
      </w:r>
    </w:p>
    <w:p>
      <w:r>
        <w:t>FR: TAF D-5931/2011 du 13 décembre 2012</w:t>
      </w:r>
    </w:p>
    <w:p>
      <w:r>
        <w:t>IT: TAF D-5931/2011 del 13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richtet sich gemäss den Rechtsbegehren und der Begründung ausschliesslich gegen den Vollzug der von der Vorinstanz verfügten Wegweisung. Die Verfügung des BFM vom 26. September 2011 ist, soweit sie die Frage der Flüchtlingseigenschaft und der Asylgewährung betrifft (Ziffn. 1 und 2 des Dispositivs),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den formellen Rügen - lediglich die Frage, ob das Bundesamt den Vollzug der Wegweisung zu Recht als zulässig, zumutbar und möglich erklärt hat.</w:t>
      </w:r>
    </w:p>
    <w:p>
      <w:r>
        <w:rPr>
          <w:b/>
        </w:rPr>
        <w:t>E. 2.1</w:t>
      </w:r>
    </w:p>
    <w:p>
      <w:r>
        <w:t>Die verfahrensrechtlichen Rügen des Beschwerdeführers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2.2</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so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 Weissenberger [Hrsg.], Praxiskommentar VwVG, Zürich/Basel/Genf 2009, Art. 26, N 4 ff., 32 f.). Umfasst vom Anspruch auf Wahrung des rechtlichen Gehörs ist zudem auch die der Behörde obliegende Pflicht zur Begründung ihres Entscheids, womit der betroffenen Person die Tatsachen und Rechtsnormen zur Kenntnis gebracht werden sollen, die für den Entscheid massgeblich waren und ihr eine sachgerechte Anfechtung ermöglichen soll (vgl. Felix Uhlmann/Alexandra Schwank, in: Waldmann/Weissenberger [Hrsg.], a.a.O., Art. 35, N 10, 17).</w:t>
      </w:r>
    </w:p>
    <w:p>
      <w:r>
        <w:rPr>
          <w:b/>
        </w:rPr>
        <w:t>E. 2.3</w:t>
      </w:r>
    </w:p>
    <w:p>
      <w:r>
        <w:t>Im Hinblick auf den Antrag des Beschwerdeführers, es seien ihm die für den Entscheid relevanten Herkunftsländerinformationen, auf welche die Vorinstanz ihren Entscheid stütze, offenzulegen, namentlich diejeni­gen, aus welchen die Vorinstanz den Schluss ziehe, dass adäquate Behandlungsmöglichkeiten hinsichtlich der psychischen Erkrankung des Beschwerdeführers bestünden, ist Folgendes festzustellen: Die Vorinstanz hat dem Beschwerdeführer Quellen betreffend der medizinischen Infrastruktur in Sri Lanka im Rahmen der Vernehmlassung angegeben. Dabei handelt es sich um öffentlich zugängliche Berichte, die in dem Sinne nicht dem Akteneinsichtsrecht unterstehen. Das BFM stützt sich denn auch in ihren Entscheiden regelmässig auf zahlreiche öffentlich zugängliche Berichte, die nicht einzeln aufgezählt werden müssen und in die auch keine Akteneinsicht zu gewähren ist. Im Übrigen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jedwelchen nicht konkret benannten Dokumenten zu erlangen. Die Rüge, ein Reisebericht sei zu Unrecht nicht offengelegt worden, stösst damit für das vorliegende Verfahren ins Leere, zumal ein solcher nicht argumentativ verwendet wurde. Hinsichtlich der UNHCR-Richtlinien vom 5. Juli 2010 ist festzustellen, dass diese öffentlich zugänglich sind - so auch im Internet -, weshalb auch diesbezüglich keine Verletzung des Akteneinsichtsrechts beziehungsweise der Begründungspflicht vorliegt. Daran ändert auch der Umstand nichts, dass in der angefochtenen Verfügung darauf verzichtet wurde, bezüglich dieses Dokumentes die relevanten Passagen anzugeben. Eine Verletzung des rechtlichen Gehörs liegt daher diesbezüglich ebenfalls nicht vor.</w:t>
      </w:r>
    </w:p>
    <w:p>
      <w:r>
        <w:rPr>
          <w:b/>
        </w:rPr>
        <w:t>E. 2.4</w:t>
      </w:r>
    </w:p>
    <w:p>
      <w:r>
        <w:t>Soweit in der Rechtmittelschrift darüber hinaus gerügt wird, der Umstand, dass das BFM in der angefochtenen Verfügung ohne Begründung von der langjährigen Praxis des Bundesverwaltungsgerichts abgewichen sei, stelle eine Verletzung der Begründungspflicht und damit ebenfalls des Anspruchs auf rechtliches Gehör dar, ist dies von der Hand zu weisen. Das BFM hat in der angefochtenen Verfügung nachvollziehbar und hinreichend differenziert aufgezeigt, weshalb es zu dem Schluss gelangt ist, dass nach Beendigung des bewaffneten Konflikts zwischen der sri-lankischen Regierung und den LTTE im Mai 2009 eine Rückkehr auch in den Norden und Osten Sri Lankas grundsätzlich wieder als zumutbar zu erachten sei. Zwar muss sich das BFM als Vorinstanz hinsichtlich der Frage der generellen Zumutbarkeit des Vollzugs der Wegweisung in Herkunftsländer abgewiesener Asylsuchender an die Praxis des Bundesverwaltungsgerichts halten, es ist jedoch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welche mit derjenigen des BFM im Ergebnis weitgehend übereinstimmt (vgl. die nachstehenden Erwägungen).</w:t>
      </w:r>
    </w:p>
    <w:p>
      <w:r>
        <w:rPr>
          <w:b/>
        </w:rPr>
        <w:t>E. 2.5</w:t>
      </w:r>
    </w:p>
    <w:p>
      <w:r>
        <w:t>Bei dieser Sachlage besteht somit keine Veranlassung, die angefoch­tene Verfügung aus formellen Gründen aufzuheben, weshalb das Begeh­ren des Beschwerdeführers, die angefochtene Verfügung sei diesbezüglich aufzuheben und zur Neubeurteilung der Sache an das BFM zurückzuweisen, abzuweisen ist.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3.2</w:t>
      </w:r>
    </w:p>
    <w:p>
      <w:r>
        <w:t>Der Vollzug ist nicht zulässig, wenn völkerrechtliche Verpflichtungen der Schweiz einer Weiterreise der Ausländerin oder des Ausländers in den Heimat-, Herkunfts- oder einen Drittstaat entgegenstehen (Art. 83 Abs. 3 AuG).</w:t>
      </w:r>
    </w:p>
    <w:p>
      <w:r>
        <w:rPr>
          <w:b/>
        </w:rPr>
        <w:t>E. 3.2.1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3.2.2</w:t>
      </w:r>
    </w:p>
    <w:p>
      <w:r>
        <w:t>Wie rechtskräftig festgestellt wurde, ist es dem Beschwerdeführer nicht gelungen, eine asylrechtlich relevante Gefährdung nachzuweisen oder glaubhaft zu machen. Der in Art. 5 AsylG verankerte Grundsatz der Nichtrückschiebung findet daher im vorliegenden Verfahren keine Anwendung. Eine Rückkehr des Beschwerdeführers nach Sri Lanka erweist sich demnach unter dem Aspekt von Art. 5 AsylG als rechtmässig.</w:t>
      </w:r>
    </w:p>
    <w:p>
      <w:r>
        <w:rPr>
          <w:b/>
        </w:rPr>
        <w:t>E. 3.2.3</w:t>
      </w:r>
    </w:p>
    <w:p>
      <w:r>
        <w:t>Sodann ergeben sich weder aus den Aussagen des Beschwerde­führers noch aus den Akten Anhaltspunkte dafür, dass er für den Fall einer Ausschaffung nach Sri Lanka dort mit beachtlicher Wahrscheinlichkeit einer nach Art. 1 des Übereinkommens vom 10. Dezember 1984 gegen Folter und andere grausame, unmenschliche oder erniedrigende Behandlung oder Strafe (FoK, SR 0.105) oder Art. 3 der Konvention vom 4. November 1950 zum Schutze der Menschenrechte und Grundfreiheiten (EMRK, SR 0.101)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3.2.4</w:t>
      </w:r>
    </w:p>
    <w:p>
      <w:r>
        <w:t>Das Bundesverwaltungsgericht nahm in BVGE 2011/24 zur Frage der Gefährdung von Asylsuchenden aus Sri Lanka eine Lageanalyse vor. Es definierte Personenkreise, welche immer noch einer erhöhten Verfol­gungsgefahr ausgesetzt sein könnten. Dazu zählen unter anderem Personen, die auch nach Beendigung des Bürgerkriegs verdächtigt werden, mit den LTTE in Verbindung zu stehen oder gestanden zu haben, ebenso wie Anhänger des Ex-Armeegenerals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(vgl. a.a.O. E. 8).</w:t>
      </w:r>
    </w:p>
    <w:p>
      <w:r>
        <w:rPr>
          <w:b/>
        </w:rPr>
        <w:t>E. 3.2.5</w:t>
      </w:r>
    </w:p>
    <w:p>
      <w:r>
        <w:t>Der EGMR hat sich wiederholt mit der Gefährdungssituation im Hinblick auf eine EMRK-widrige Behandlung, namentlich für Tamilen, die aus einem europäischen Land nach Sri Lanka zurückkehren müssen,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in seiner Einschätzung, dass nicht in genereller Weise davon auszugehen sei, dass zurückkehrenden Tamilen unmenschliche Behandlung drohe sondern eine entsprechende Risikoeinschätzung vielmehr verschiedene Faktoren in Betracht ziehen müsse,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3.2.6</w:t>
      </w:r>
    </w:p>
    <w:p>
      <w:r>
        <w:t>Eine entsprechend drohende konkrete Gefahr im Falle seiner Rückkehr hat der Beschwerdeführer weder substanziiert geltend gemacht, noch ist eine solche aus den Akten ersichtlich. So wurde bereits rechtskräftig festgestellt, dass die vom Beschwerdeführer geltend gemachten Schikanen seitens der LTTE sowie die Kontrollen durch die Sicherheitskräfte vor seiner Ausreise im engen Zusammenhang mit den damals herrschenden kriegerischen Auseinandersetzungen standen und unter Berücksichtigung der veränderten Situation keine Flüchtlingseigenschaft zu begründen vermögen. Dem Vorbringen des Beschwerdeführers sind insbesondere auch keine Anhaltspunkte dafür zu entnehmen, dass er einem der genannten Risikoprofile entsprechen könnte. So war der Beschwerdeführer weder politisch aktiv, noch unterstützte er die LTTE oder stammt aus einer politischen Familie. Dass seine Ehefrau während der Hochphase der Kampfhandlungen im Jahr 2006 verschollen und höchstwahrscheinlich zu Tode gekommen ist und auch weitere Verwandte während des Konflikts umgekommen sind, stellt für den Beschwerdeführer verständlicherweise einen sehr schwierigen Umstand dar. Allerdings lässt sich auch aus diesen Todesfällen innerhalb der Familie - unter Berücksichtigung der von ihm geltend gemachten Fluchtgründe - kein Profil ableiten, aufgrund welches davon auszugehen wäre, dass der Beschwerdeführer bei der Wiedereinreise eine unzulässige Behandlung gewärtigen muss, war doch zum genannten Zeitpunkt, in welchem auch die Ehefrau des Beschwerdeführers verschwand, gerade die unbeteiligte Zivilbevölkerung zu grossen Teilen Opfer willkürlicher Gewalthandlungen der LTTE und der sri-lankischen Militärbehörden.</w:t>
      </w:r>
    </w:p>
    <w:p>
      <w:r>
        <w:rPr>
          <w:b/>
        </w:rPr>
        <w:t>E. 3.2.7</w:t>
      </w:r>
    </w:p>
    <w:p>
      <w:r>
        <w:t>Nachdem auch die allgemeine Menschenrechtssituation in Sri Lanka den Wegweisungsvollzug zum heutigen Zeitpunkt - entgegen den letztlich nicht stichhaltigen Beschwerdevorbringen - ebenfalls nicht als unzulässig erscheinen lässt, erweist sich der Vollzug der Wegweisung sowohl im Sinne der asyl- als auch der völkerrechtlichen Bestimmungen als zulässig.</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3.3.1</w:t>
      </w:r>
    </w:p>
    <w:p>
      <w:r>
        <w:t>Der Beschwerdeführer machte im Beschwerdeverfahren geltend, die Vorinstanz sei zu Unrecht von der Zumutbarkeit des Wegweisungsvollzuges ausgegangen. Ein Wegweisungsvollzug erweise sich aber unter Berücksichtigung der nach wie vor herrschenden Situation in Sri Lanka und insbesondere vor dem Hintergrund der behandlungsbedürftigen psychischen Erkrankung des Beschwerdeführers als unzumutbar.</w:t>
      </w:r>
    </w:p>
    <w:p>
      <w:r>
        <w:rPr>
          <w:b/>
        </w:rPr>
        <w:t>E. 3.3.2</w:t>
      </w:r>
    </w:p>
    <w:p>
      <w:r>
        <w:t>Das Bundesverwaltungsgericht hat in oben erwähntem Urteil BVGE 2011/24 die Lage in Sri Lanka auch im Hinblick auf die Wegweisungspraxis analysiert und hinsichtlich des Wegweisungsvollzugs festgehalten, dass ein solcher in das gesamte Gebiet der Ostprovinz aufgrund der weitgehenden Stabilisierung und Normalisierung der Lage grundsätzlich zumutbar sei (a.a.O. E. 13.1). Auch wurde der Wegweisungsvollzug in die Gebiete im Norden Sri Lankas, welche bereits seit längerer Zeit unter Regierungskontrolle stehen - namentlich die Distrikte Jaffna und die südlichen Teile der Distrikte Vavuniya und Mannar als generell zumutbar erachtet (a.a.O. E. 13.2). Ausgenommen von dieser Einschätzung bleibt das Vanni-Gebiet im Norden, welches die Distrikte Kilinochchi und Mullaitivu (samt beider Städte), die nördlichen Teile der Distrikte Mannar und Vavuniya sowie einen schmalen Landstreifen an der Ostküste des Jaffna-Distrikts umfasst. Eine Rückkehr dorthin ist aufgrund der immer noch weitgehend zerstörten Infrastruktur und der Verminung weiterhin als unzumutbar einzustufen (a.a.O. E. 13.2.2). Jedoch hat die Prüfung des Wegweisungsvollzuges sorgfältig und zurückhaltend und unter Berücksichtigung der individuellen Umstände zu erfolgen, wobei neben der allgemeinen Zumutbarkeit auch dem zeitlichen Element gebührend Rechnung zu tragen ist. Liegt der Aufenthalt im Heimatstaat - wie im vorliegenden Fall - längere Zeit zurück oder geht aus den Verfahrensakten hervor, dass sich die Lebensumstände massgeblich verändert haben könnten, sind die aktuell vorliegenden Lebens- und Wohnverhältnisse massgeblich und entsprechend abzuklären.</w:t>
      </w:r>
    </w:p>
    <w:p>
      <w:r>
        <w:rPr>
          <w:b/>
        </w:rPr>
        <w:t>E. 3.3.3</w:t>
      </w:r>
    </w:p>
    <w:p>
      <w:r>
        <w:t>Der Beschwerdeführer stammt aus der Ortschaft C._______ (Distrikt Jaffna), wo er bis zwei Monate vor seiner Ausreise im Jahr 2001 lebte. Seinen Angaben gemäss sind seine Eltern im Heimatort verblieben, ebenso wie seine drei Kinder, welche seit dem Verschwinden seiner Ehefrau im Jahr 2006 von ihren Grosseltern betreut werden. Die Kinder sind zwischenzeitlich zwanzig, achtzehn und elf Jahre alt. Zudem leben zwei Schwestern mit ihren Familien im Heimatort bzw. in der Heimatregion (act. A1 S. 2 f.). Der Beschwerdeführer verfügt mithin über ein enges familiäres Beziehungsnetz im Herkunftsort. Er macht überdies geltend, dass die Familie zum Zeitpunkt seiner Ausreise über Ländereien verfügt habe und er bis dahin auch landwirtschaftlich auf den eigenen Feldern tätig gewesen sei (act. A1 S. 3). Es ist daher davon auszugehen, dass er nach einer Rückkehr mit der Bewirtschaftung der Felder seiner Familie wieder ein gesichertes Auskommen erzielen kann. Dieser Beurteilung dürfte namentlich auch der psychische Gesundheitszustand des Beschwerdeführers nicht entgegenstehen. Aus den im vorinstanzlichen Verfahren eingereichten ärztlichen Bericht des behandelnden Facharztes für Psychiatrie Dr. med. G._______, Rapperswil, vom 29. August 2011 ergibt sich, dass der Beschwerdeführer sich seit Juli 2011 wegen einer posttraumatischen Belastungsstörung sowie einer rezidivierenden depressiven Störung und einer Alkoholabhängigkeit in psychotherapeutischer Gesprächstherapie befindet und ebenso medikamentös behandelt wird. Entsprechend dem eingereichten Bericht steht das Krankheitsbild im Zusammenhang mit der "gewaltsamen" Trennung des Beschwerdeführers von seiner Familie, dem Verschwinden seiner Ehefrau, dem unklaren Schicksal seiner Kinder, welche im Heimatstaat bei den Grosseltern leben, sowie seinem eigenen unsicheren Status in der Schweiz. Dem Bericht ist nicht zu entnehmen, in welchem Umfang der Beschwerdeführer therapiebedürftig ist. Angedacht war die Aufnahme im Tageszentrum für Folteropfer in F._______ zwecks weiterer Stabilisierung. Ob eine solche erfolgt ist, lässt sich den Akten nicht entnehmen; weitere Zeugnisse zu seinem Gesundheitszustand hat der Beschwerdeführer nicht zu den Akten gereicht, weshalb davon auszugehen ist, dass sich sein Zustand nicht massgeblich verschlechtert hat. Die Vorinstanz stellte im Zusammenhang mit der Erkrankung des Beschwerdeführers zutreffend fest, dass von einer adäquaten Behandelbarkeit im Heimatstaat, namentlich auch in der Heimatregion, auszugehen ist, auch wenn gewisse Einbussen des Betreuungsstandards im Vergleich zur Schweiz nicht in Abrede zu stellen sind. Vorliegend bedarf der Beschwerdeführer aber offensichtlich insbesondere einer Gesprächstherapie; derartige Behandlungsmöglichkeiten stehen im Jaffna-Town Hospital sowie in den Spitälern von Tellipallai und Point Pedro zur Verfügung, wo eine kostenlose Behandlung und Abgabe von Medikamenten erfolgt. Dass die Behandlung im Heimatstaat zudem in der Muttersprache des Beschwerdeführers und von einer mit seiner Kultur vertrauten Person durchgeführt werden kann, dürfte dem Behandlungserfolg in der Tat förderlich sein. Stabilisierend dürfte sich überdies auswirken, dass der Beschwerdeführer wieder mit seiner Familie, insbesondere mit seinen zwischenzeitlich jugendlichen bzw. volljährigen Kindern zusammen leben kann. Dem Beschwerdeführer bleibt es zudem unbenommen, für die Anfangsphase seiner Rückkehr medizinische Rückkehrhilfe in Anspruch zu nehmen. Auch leben nach Angaben des Beschwerdeführers vier seiner Geschwister in B._______ und J._______ und ein weiterer Bruder in K._______. Es ist daher auch davon auszugehen, dass die Geschwister die Familie ebenfalls finanziell aus dem Ausland unterstützten können.</w:t>
      </w:r>
    </w:p>
    <w:p>
      <w:r>
        <w:rPr>
          <w:b/>
        </w:rPr>
        <w:t>E. 3.4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3.5</w:t>
      </w:r>
    </w:p>
    <w:p>
      <w:r>
        <w:t>Zusammenfassend ist festzustellen, dass das BFM im Ergebnis den Wegweisungsvollzug zu Recht als zulässig, zumutbar und möglich qualifiziert hat. Nach dem Gesagten fällt eine Anordnung der vorläufigen Aufnahme ausser Betracht (Art. 83 Abs. 1-4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von Fr. 600.- (Art. 1 3 des Reglements vom 21. Februar 2008 über die Kosten und Entschädigungen vor dem Bundesverwaltungsgericht [VGKE, SR 173.320.2]) dem Beschwerdeführer aufzuerlegen (Art. 63 Abs. 1 VwVG). Eine Parteientschädigung ist mangels Obsiegen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