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D-5926/2006 vom 24. März 2009</w:t>
      </w:r>
    </w:p>
    <w:p>
      <w:r>
        <w:t>Bundesverwaltungsgericht, 2009-03-24, DE</w:t>
      </w:r>
    </w:p>
    <w:p>
      <w:r>
        <w:rPr>
          <w:b/>
        </w:rPr>
        <w:t xml:space="preserve">Quelle: </w:t>
      </w:r>
      <w:r>
        <w:t>https://mcp.opencaselaw.ch/entscheid/bvger_D-5926_2006</w:t>
      </w:r>
    </w:p>
    <w:p>
      <w:r>
        <w:t>FR: TAF D-5926/2006 du 24 mars 2009</w:t>
      </w:r>
    </w:p>
    <w:p>
      <w:r>
        <w:t>IT: TAF D-5926/2006 del 24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bei der vormaligen ARK am 31. Dezember 2006 hängig gewesenen Rechtsmittel übernommen. Die Beurteilung erfolgt nach neuem Verfahrensrecht ist (vgl. Art. 53 Abs. 2 VGG).</w:t>
      </w:r>
    </w:p>
    <w:p>
      <w:r>
        <w:rPr>
          <w:b/>
        </w:rPr>
        <w:t>E. 1.3</w:t>
      </w:r>
    </w:p>
    <w:p>
      <w:r>
        <w:t>Die Beschwerdeführenden haben das Verfahren vor dem Bundesamt eingeleitet, sind durch die angefochtene Verfügung besonders berührt und haben ein schutzwürdiges Interesse an deren Aufhebung bzw. Änderung. Damit sind sie zur Einreichung der Beschwerde legitimiert (Art. 6 AsylG i.V.m. Art. 48 Abs. 1 VwVG).</w:t>
      </w:r>
    </w:p>
    <w:p>
      <w:r>
        <w:rPr>
          <w:b/>
        </w:rPr>
        <w:t>E. 1.4</w:t>
      </w:r>
    </w:p>
    <w:p>
      <w:r>
        <w:t>Die Beschwerde wurde frist- und formgerecht eingereicht (Art. 50 und 52 VwVG). Demzufolge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Zunächst bleibt zu prüfen, ob die Aussage des Beschwerdeführers als glaubhaft erscheint, er sei wegen seiner telefonischen Kontakte mit dem im Irak lebenden und für die PKK kämpfenden Bruder G._______ behördlich gesucht worden.</w:t>
      </w:r>
    </w:p>
    <w:p>
      <w:r>
        <w:rPr>
          <w:b/>
        </w:rPr>
        <w:t>E. 3.1.1</w:t>
      </w:r>
    </w:p>
    <w:p>
      <w:r>
        <w:t>Tatsächlich leuchtet, wie von der Vorinstanz (vgl. Verfügung BFM S. 3, E. I/1., Abs. 3) ausgeführt, keineswegs ein, weshalb der Beschwerdeführer nach seiner - in Istanbul registrierten (vgl. act. A1 S. 5 unten) - Rückkehr in die Türkei bereits wenige Tage später mit seinem bei der PKK weilenden Bruder G._______ in telefonischen Kontakt hätte treten beziehungsweise diesen hätte fortsetzen sollen, musste er doch aufgrund seines langjährigen Auslandaufenthalts sowie des noch nicht abgeleisteten Militärdienstes mit einer verschärften Beobachtung seiner Person durch die heimatlichen Behörden rechnen. Dass er - wie auf Beschwerdeebene vorgetragen - eines gewissen Risikos zwar gewahr gewesen sei, des hohen Stellenwerts der Familie wegen den Kontakt zum Bruder aber nicht habe abbrechen wollen (vgl. Beschwerde S. 5), erscheint vor diesem Hintergrund nicht nachvollziehbar und weckt bereits aus diesem Grund erste Zweifel an der Glaubhaftigkeit der Behauptung des Beschwerdeführers, nach seiner Rückkehr in die Türkei mit jenem Bruder telefonische Kontakte unterhalten zu haben und aus diesem Grund behördlich gesucht worden zu sein. Darüber hinaus erscheint aber auch die Behauptung des Beschwerdeführers, das Risiko einer Entdeckung der starken Verbundenheit mit seinem Bruder wegen auf sich genommen zu haben, in sich nicht stimmig: So war der Beschwerdeführer beispielsweise bei seiner Bundesanhörung vom 10. April 2006 offensichtlich nicht in der Lage, die Telefonnummer seines Bruders G._______ zu nennen (vgl. act. A14 S. 7 oben). Dass er die lange Telefonnummer, welche er nicht memorieren könne, bei seiner Ausreise aus der Türkei aus Sicherheitsgründen nicht auf sich habe tragen wollen (vgl. act. A14 S. 7), mutet mit Blick auf das frühere furchtlose Verhalten des Beschwerdeführers (wöchentliche Telefonate mit seinem Bruder G._______ in der Türkei) nicht nachvollziehbar an, zumal den türkischen Behörden diese Telefonnummer zufolge der behaupteten aufgezeichneten Telefonate zwischen ihm und seinem Bruder G._______ ohnehin bekannt gewesen wäre. An dieser Feststellung vermag auch die nachträgliche Beibringung der Telefonnummer des Bruders G._______ auf Replikebene nichts zu ändern.</w:t>
      </w:r>
    </w:p>
    <w:p>
      <w:r>
        <w:rPr>
          <w:b/>
        </w:rPr>
        <w:t>E. 3.1.2</w:t>
      </w:r>
    </w:p>
    <w:p>
      <w:r>
        <w:t>Darüber hinaus vermag der Beschwerdeführer auch der Einschätzung der Vorinstanz, wonach es erfahrungsgemäss nicht möglich sei, mit einem PKK-Kämpfer "problemlos" zu telefonieren (vgl. Verfügung BFM S. 3, E. I/1., Abs. 3), nichts Substanzielles entgegenzuhalten. So behauptet er zwar in der Beschwerde, nicht er (der Beschwerdeführer), sondern sein Bruder G._______ habe jeweils die telefonischen Kontakte initiiert (vgl. Beschwerde S. 5 und 6). Letztere Behauptung findet in den Akten indessen keine hinreichende Stütze. Zwar hielt der Beschwerdeführer anlässlich seiner Anhörung durch das BFM vom 10. April 2006 zunächst fest, sein Bruder habe ihn eine Woche nach seiner Ankunft zuhause erstmals angerufen, um gleich anschliessend festzuhalten, er (der Beschwerdeführer) habe ihn danach immer wöchentlich angerufen (vgl. act. A14 S. 6 unten). Dabei habe sein Bruder die Telefonate nicht selbst entgegen genommen, sondern jeweils eine andere Person, die seinen Bruder dann ans Telefon geholt habe (vgl. act. A14 S. 7 oben). Gegen die Behauptung des Beschwerdeführers, jeweils auf die Anrufe seines Bruders gewartet zu haben, spricht im Übrigen auch der Umstand, dass er zunächst erklärte, im Besitze der Nummer des Telefonanschlusses seines Bruders gewesen zu sein (vgl. act. A14 S. 7, Abs. 1 bis 3). Die erst nachträgliche - gegenteilige - Behauptung, die Anschlussnummern hätten gewechselt (vgl. act. A14 S. 7, Abs. 4), erscheint mit Blick auf das Gesamte als unbehelflicher Versuch, nachträglich den Anschein zu wecken, der Beschwerdeführer selbst habe keinerlei Möglichkeit gehabt, seinen Bruder G._______ aus eigener Initiative telefonisch zu erreichen. Es darf indes generell als ausgeschlossen gelten, dass einzelne Verbände der PKK als Guerillaorganisation Aussenstehenden Telefonnummern bekanntgeben würden, unter denen sie erreichbar sind, würde hierdurch doch nur das unnötige Risiko geschaffen, Opfer einer behördlichen Abhöraktion zu werden, damit Aktivitäten von Sicherheitskräften auszulösen und schlimmstenfalls eine Gefangennahme gewärtigen zu müssen.</w:t>
      </w:r>
    </w:p>
    <w:p>
      <w:r>
        <w:rPr>
          <w:b/>
        </w:rPr>
        <w:t>E. 3.1.3</w:t>
      </w:r>
    </w:p>
    <w:p>
      <w:r>
        <w:t>Im Sinne eines Zwischenergebnisses ist somit festzuhalten, dass die vom Beschwerdeführer geltend gemachte behördliche Suche zufolge seiner angeblichen Telefonate mit seinem bei der PKK befindlichen Bruder G._______ als nicht glaubhaft erscheinen.</w:t>
      </w:r>
    </w:p>
    <w:p>
      <w:r>
        <w:rPr>
          <w:b/>
        </w:rPr>
        <w:t>E. 3.2</w:t>
      </w:r>
    </w:p>
    <w:p>
      <w:r>
        <w:t>Der Beschwerdeführer vertritt ferner den Standpunkt, er sei im Falle einer Rückkehr in die Türkei auch aufgrund seiner politischen Aktivitäten in der Türkei vor seiner Ausreise nach F._______ im Jahr 1999 sowie seiner exilpolitischen Aktivitäten in F._______ (...) einer asylrechtlich relevanten Verfolgungsgefahr ausgesetzt. So habe er vor seiner Ausreise nach F._______ für die P._______ gearbeitet. In den Jahren 1998 und 1999 sei er im Rahmen der Newroz (Neujahrs)-Feierlichkeiten zweimal festgenommen und verhört worden. Er habe diese Festnahmen anlässlich der Befragung in der Empfangsstelle einzig deshalb nicht erwähnt, weil er geglaubt habe, die dortige Frage, ob er sonst noch einmal inhaftiert gewesen sei, habe sich auf den Zeitraum nach seiner Inhaftierung in H._______ am 19. November 2005 bezogen. Im Weiteren sei er auch während seines Aufenthalts in F._______ politisch aktiv gewesen. So seien in F._______ regelmässig unter seinem Namen Artikel in der Q._______ erschienen. Zudem habe man ihn am 13. Juni 2001 in einer Sendung des kurdischen Satellitensenders I._______ sehen können, wo er für die Anerkennung der Kurden eingetreten sei. Diese Sendung hätten auch die Behörden in der Türkei mitverfolgen können. Er sei sich dessen erst bewusst geworden, nachdem ihn einer seiner Brüder nach seiner Rückkehr in die Türkei hierauf aufmerksam gemacht und ihm auch eine Aufzeichnung jener Sendung ausgehändigt habe. Darüber hinaus drohe ihm insbesondere wegen seines als PKK-Rebellen aktiven Bruders G._______ eine Reflexverfolgung in der Türkei (vgl. Beschwerde S. 7 bis 9).</w:t>
      </w:r>
    </w:p>
    <w:p>
      <w:r>
        <w:rPr>
          <w:b/>
        </w:rPr>
        <w:t>E. 3.2.1</w:t>
      </w:r>
    </w:p>
    <w:p>
      <w:r>
        <w:t>Einleitend ist festzustellen, dass der Beschwerdeführer weder anlässlich seiner summarischen Befragung im Empfangszentrum Kreuzlingen am 30. März 2006 noch bei seiner Bundesanhörung vom 10. April 2006 geltend gemacht hat, er sei nach seiner Ende Oktober 2005 erfolgten Rückkehr in die Türkei im Zusammenhang mit früheren politischen Aktivitäten in der Türkei beziehungsweise in F._______ behördlich gesucht worden. Bereits vor diesem Hintergrund entbehren die entsprechenden, erst auf Beschwerdeebene vorgetragenen Behauptungen und insbesondere auch die Rüge, die Vorinstanz habe es unterlassen, das Vorliegen eines subjektiven Nachfluchtgrundes zu prüfen (vgl. Beschwerde S. 12 Ziff. 3), jeglicher Grundlage. Soweit der Beschwerdeführer behauptet hat, zufolge der nach seiner Rückkehr in die Türkei aufgenommenen Telefongespräche mit seinem Bruder G._______ behördlich gesucht worden zu sein, erachtet das Gericht die entsprechenden Vorbringen - wie unter Ziff. 4.1.1 bis 4.1.3 vorstehend ausgeführt - als unglaubhaft. Dass er demgegenüber allein aufgrund der Tatsache, einen bei der PKK aktiven Bruder zu haben, nach seiner Rückkehr in die Türkei Ende Oktober 2005 behördlichen Behelligungen ausgesetzt gewesen sei, hat er nie geltend gemacht, weshalb vorliegend keine Veranlassung besteht, die Frage einer allfälligen Reflexverfolgung des Beschwerdeführers zufolge seiner Verwandtschaft mit einem angeblich in der PKK aktiven Bruder einer materiellen Prüfung zu unterziehen.</w:t>
      </w:r>
    </w:p>
    <w:p>
      <w:r>
        <w:rPr>
          <w:b/>
        </w:rPr>
        <w:t>E. 3.2.2</w:t>
      </w:r>
    </w:p>
    <w:p>
      <w:r>
        <w:t>Hinzu kommt, dass die angeblichen politischen Aktivitäten des Beschwerdeführers vor seiner Ausreise aus F._______ wie auch die angeblichen exilpolitischen Aktivitäten in F._______ während seines dortigen Asylverfahrens - immer unter der Annahme, er habe diese Vorbringen dazumal auch geltend gemacht - bekannt waren, weshalb diesfalls davon ausgegangen werden muss, dass sie bereits von den (...) Asylbehörden einlässlich gewürdigt worden sind. Die Rückführung des Beschwerdeführers Ende Oktober 2005 in die Türkei nach abgeschlossenem (...) Asylverfahren impliziert dabei, dass auch die (...) Behörden - sofern sie vom Beschwerdeführer überhaupt darüber informiert wurden -, keine Veranlassung sahen, zufolge der behaupteten (exil-)politischen Aktivitäten des Beschwerdeführers von dessen Rückführung in die Türkei abzusehen.</w:t>
      </w:r>
    </w:p>
    <w:p>
      <w:r>
        <w:rPr>
          <w:b/>
        </w:rPr>
        <w:t>E. 3.2.3</w:t>
      </w:r>
    </w:p>
    <w:p>
      <w:r>
        <w:t>Zusammenfassend ist deshalb festzustellen, dass entgegen den diesbezüglichen Behauptungen in der Beschwerde keine Hinweise dafür bestehen, dass dem Beschwerdeführer in der Heimat als Folge seiner angeblichen früheren politischen Aktivitäten in der Türkei und in F._______ eine asylbeachtliche Verfolgung droht. An dieser Einschätzung vermögen die drei Bestätigungsschreiben von L._______, M._______ sowie N._______ nichts zu ändern, zumal diese bloss in allgemeiner und teilweise identisch formulierter Form festhalten, der Beschwerdeführer weile aus politischen Gründen in der Schweiz und habe namentlich seines bei der PKK befindlichen Bruders (G._______) wegen Schwierigkeiten in seiner Heimat gehabt. Schliesslich wird auch die angebliche Veröffentlichung von Artikeln in regimekritischen Presseerzeugnissen durch keinerlei Dokumente belegt.</w:t>
      </w:r>
    </w:p>
    <w:p>
      <w:r>
        <w:rPr>
          <w:b/>
        </w:rPr>
        <w:t>E. 3.3</w:t>
      </w:r>
    </w:p>
    <w:p>
      <w:r>
        <w:t>Der Beschwerdeführer macht im Weiteren geltend, er sei auch im Zusammenhang mit seinem noch nicht geleisteten Militärdienst behördlich gesucht worden.</w:t>
      </w:r>
    </w:p>
    <w:p>
      <w:r>
        <w:rPr>
          <w:b/>
        </w:rPr>
        <w:t>E. 3.3.1</w:t>
      </w:r>
    </w:p>
    <w:p>
      <w:r>
        <w:t>Gemäss Praxis stellen allfällige strafrechtliche Konsequenzen wegen Refraktion, Dienstverweigerung oder Desertion bei einer Rückkehr ins Heimatland grundsätzlich keine Verfolgung im Sinne des Asylgesetzes dar. Es ist das legitime Recht jedes Staates, seine Bürger zum Militärdienst einzuberufen, weshalb strafrechtliche oder disziplinarische Massnahmen bei Pflichtverletzungen grundsätzlich nicht als politisch motivierte oder menschenrechtswidrige Verfolgungsmassnahmen zu betrachten sind (vgl. Entscheidungen und Mitteilungen [EMARK] 2006 Nr. 3 E. 4.2,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ausgerechnet kurdische Soldaten während des obligatorischen Militärdienstes gegen Angehörige ihrer eigenen Ethnie eingesetzt werden, ist sehr gering, und es kann ausgeschlossen werden, dass dies auf systematische Weise geschieht. Ausserdem ist der Ausnahmezustand in allen türkischen Provinzen mittlerweile aufgehoben worden. Eine allfällige Bestrafung wegen Nichtleistens des Militärdienstes, Wehrdienstverweigerung oder Desertion wäre vorliegend als legitime staatliche Massnahme zur Durchsetzung einer staatsbürgerlichen Pflicht und damit als asylrechtlich nicht relevant zu charakterisieren. Bisher wurde auch nicht bekannt, dass kurdische Refraktäre und Dienstverweigerer ihrer Ethnie oder ihres Gewissens wegen im Sinne eines "Malus" generell strengere Strafen zu gewärtigen hätten als Refraktäre und Dienstverweigerer türkischer Ethnie. Nachdem sich die vom Beschwerdeführer allenfalls zu erwartenden strafrechtlichen Sanktionen als nicht relevant im Sinne des Asylgesetzes erweisen (vgl. dazu EMARK 2004 Nr. 2 S. 12 ff.), liegt auch in dieser Hinsicht keine objektiv begründete Furcht vor Verfolgung vor.</w:t>
      </w:r>
    </w:p>
    <w:p>
      <w:r>
        <w:rPr>
          <w:b/>
        </w:rPr>
        <w:t>E. 3.3.2</w:t>
      </w:r>
    </w:p>
    <w:p>
      <w:r>
        <w:t>Ferner liegen in casu - wie unter Ziff. 4.2.1 bis 4.2.3 vorstehend dargelegt - auch keinerlei Anhaltspunkte dafür vor, dass sich der Beschwerdeführer zufolge früherer politischer Aktivitäten in einem Ausmass exponiert hätte, welches Anlass zur Befürchtung geben könnte, er müsste im Falle seines Einzugs in den Militärdienst mit einer unverhältnismässig harten Behandlung als Wehrdienstangehöriger rechnen (sog. "Politmalus").</w:t>
      </w:r>
    </w:p>
    <w:p>
      <w:r>
        <w:rPr>
          <w:b/>
        </w:rPr>
        <w:t>E. 3.4</w:t>
      </w:r>
    </w:p>
    <w:p>
      <w:r>
        <w:t>Soweit die Beschwerdeführerin geltend macht, sie sei zufolge der häufigen Vorsprachen der Soldaten in ihrem Haus stark verunsichert und verängstigt worden, bleibt festzuhalten, dass die Besuche der Soldaten bei der Beschwerdeführerin (und deren Schwiegereltern) einzig darauf abzielten, den Aufenthaltsort ihres Ehemannes in Erfahrung zu bringen, da sich dieser seit der erstmaligen behördlichen Suche zwanzig Tage nach seiner Rückkehr in die Türkei versteckt hielt. Wiewohl derlei Vorsprachen seitens Angehöriger von Gesuchten als beängstigend und unangenehm empfunden werden können, erfüllen sie die Anforderungen an die Flüchtlingseigenschaft im Sinne von Art. 3 AsylG nicht, weshalb die Beschwerdeführerin hieraus nichts zu ihren Gunsten abzuleiten vermag.</w:t>
      </w:r>
    </w:p>
    <w:p>
      <w:r>
        <w:rPr>
          <w:b/>
        </w:rPr>
        <w:t>E. 3.5</w:t>
      </w:r>
    </w:p>
    <w:p>
      <w:r>
        <w:t>Zusammenfassend ist festzustellen, dass es den Beschwerdeführenden nicht gelungen ist, Asylgründe im Sinne von Art. 3 AsylG glaubhaft zu machen. Das BFM hat ihre Asylgesuche daher zu Recht und mit zutreffender Begründung abgelehnt. Es erübrigt sich, auf weitere Vorbringen in der Beschwerde einzugehen, da diese am Ergebnis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Der Grundsatz der Nichtrückschiebung schützt nur Personen, welche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w:t>
      </w:r>
    </w:p>
    <w:p>
      <w:r>
        <w:rPr>
          <w:b/>
        </w:rPr>
        <w:t>E. 5.2.3</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Weder die allgemeine Lage in der Türkei noch die persönliche Situation der Beschwerdeführenden lassen auf eine konkrete Gefährdung schliessen. Angesichts der heutigen Lage in der Türkei kann nicht von einer Situation allgemeiner Gewalt oder von kriegerischen oder bürgerkriegsähnlichen Verhältnissen gesprochen werden, welche für die Beschwerdeführenden bei einer Rückkehr eine konkrete Gefährdung darstellen würden. Sodann bestehen auch keine anderen Hinweise, dass die Beschwerdeführenden bei einer Rückkehr in den Heimatstaat in eine konkrete, ihre Existenz bedrohende Situation geraten könnten. Der Beschwerdeführenden verfügen in der Türkei über ein familiäres Beziehungsnetz, leben doch die Eltern sowie (...) Geschwister des Beschwerdeführers nach wie vor in der Türkei (vgl. act. A1 S. 3, Ziff. 12). Die Beschwerdeführerin lebte eigenen Angaben zufolge während des F._______aufenthalts ihres Ehemannes bei ihren Schwiegereltern in D._______ (vgl. act. A14 S. 10) und wurde dabei sowohl von ihrem Schwiegervater als auch von ihren Schwagern unterstützt. Die Eltern der Beschwerdeführerin sowie zwei ihrer Geschwister leben zwar in der Schweiz (vgl. act. A2 S. 3, Ziff. 12), können die Beschwerdeführenden aber in der Türkei zumindest finanziell unterstützen, was ihre Bemühungen, sich in der Türkei eine neue Existenzgrundlage aufzubauen, erleichtern dürfte. Ausserdem hat sich der Beschwerdeführer während seiner Aufenthalte in F._______ und in der Schweiz in der Gastronomie weitergehende Berufserfahrungen aneignen können (vgl. act A1 S. 2, Ziff. 8 und E. Ziff. 9 nachstehend). Angesichts der gesamten Umstände kann der Vollzug der Wegweisung - entgegen der in der Rechtsmitteleingabe vertretenen Auffassung - auch als zumutbar bezeichnet werden.</w:t>
      </w:r>
    </w:p>
    <w:p>
      <w:r>
        <w:rPr>
          <w:b/>
        </w:rPr>
        <w:t>E. 5.4</w:t>
      </w:r>
    </w:p>
    <w:p>
      <w:r>
        <w:t>Schliesslich obliegt es den Beschwerdeführenden, sich bei der zuständigen Vertretung ihres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Mit Verfügung vom 22. Mai 2006 hat der Instruktionsrichter zwar das von den Beschwerdeführenden gestellte Gesuch um Gewährung der unentgeltlichen Rechtspflege im Sinne von Art. 65 Abs. 1 VwVG gutgeheissen (vgl. Sachverhalt Bst. D). Wie indessen aktuelle Abklärungen ergeben haben, ist der Beschwerdeführer seit dem 1. September 2007 ununterbrochen (...) erwerbstätig, weshalb heute nicht mehr von der Bedürftigkeit der Beschwerdeführenden auszugehen und folglich die am 22. Mai 2006 gewährte unentgeltliche Rechtspflege wiedererwägungsweise aufzuheben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