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D-5912/2014 vom 20. Februar 2017</w:t>
      </w:r>
    </w:p>
    <w:p>
      <w:r>
        <w:t>Bundesverwaltungsgericht, 2017-02-20, DE</w:t>
      </w:r>
    </w:p>
    <w:p>
      <w:r>
        <w:rPr>
          <w:b/>
        </w:rPr>
        <w:t xml:space="preserve">Quelle: </w:t>
      </w:r>
      <w:r>
        <w:t>https://mcp.opencaselaw.ch/entscheid/bvger_D-5912_2014</w:t>
      </w:r>
    </w:p>
    <w:p>
      <w:r>
        <w:t>FR: TAF D-5912/2014 du 20 février 2017</w:t>
      </w:r>
    </w:p>
    <w:p>
      <w:r>
        <w:t>IT: TAF D-5912/2014 del 20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2.1</w:t>
      </w:r>
    </w:p>
    <w:p>
      <w:r>
        <w:t>Der Beschwerdeführer ist inzwischen 17 Jahre alt und noch immer unmündig. Es ist deshalb vorab seine Prozessfähigkeit als Sachurteilsvoraussetzung von Amtes wegen zu prüfen.</w:t>
      </w:r>
    </w:p>
    <w:p>
      <w:r>
        <w:rPr>
          <w:b/>
        </w:rPr>
        <w:t>E. 2.2</w:t>
      </w:r>
    </w:p>
    <w:p>
      <w:r>
        <w:t>Als verfahrensrechtliches Korrelat der Handlungsfähigkeit ist die Prozessfähigkeit nach den einschlägigen zivilrechtlichen Vorschriften zu beurteilen (vgl. Entscheidungen und Mitteilungen der Schweizerischen Asylrekurskommission [EMARK] 1996 Nr. 3 E. 2b S. 19). Sie setzt demnach Urteilsfähigkeit, Mündigkeit und das Fehlen einer Entmündigung voraus (Art. 13 und 17 ZGB) sowie Art. 35 i. V. 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BVGE 2011/39 E. 4.3.2). Den Akten sind keine Anhaltspunkte zu entnehmen, die zu Zweifeln an der Urteilsfähigkeit des Beschwerdeführers in Bezug auf das Einreichen des Asylgesuches, das Vortragen seines Asylvorbringens oder auf die Erhebung der Beschwerde Anlass geben würden. Die Befragungsprotokolle vermitteln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 Auf entsprechende Meldung des BFM wurde am 3. Juli 2013 von der zuständigen kantonalen Stelle eine Beistandschaft errichtet. Der zunächst im Rahmen des Verfahrens betreffend das Asylgesuch des Beschwerdeführers aus dem Ausland mandatierte Rechtsvertreter hat - obwohl die abweisende Verfügung des BFM ihm eröffnet wurde - keine weiteren Verfahrenshandlungen für den Beschwerdeführer unternommen. Das Gericht erachtet daher das Vertretungsverhältnis als erloschen. Der Beschwerdeführer ist im vorliegenden Verfahren nicht vertreten.</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vom 14. Oktober 2014 enthält in Bezug auf die Ableh-nung des Asylgesuches keinen Antrag und auch in der Begründung finden sich diesbezüglich keine Einwendungen. Der Prozessgegenstand beschränkt sich im vorliegenden Verfahren auf die Frage, ob der Beschwerdeführer aufgrund subjektiver Nachfluchtgründe im Sinne von Art. 54 AsylG infolge illegaler Ausreise die Flüchtlingseigenschaft erfüllt. Demgegenüber ist die Abweisung des Asylgesuchs unangefochten in Rechtskraft erwachsen.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5.3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6.1</w:t>
      </w:r>
    </w:p>
    <w:p>
      <w:r>
        <w:t>Das BFM verneinte das Vorliegen der Flüchtlingseigenschaft mit dem Argument, der Beschwerdeführer sei zum Zeitpunkt der Ausreise erst elf Jahre alt gewesen, weshalb im Falle der Rückkehr mit einer Bestrafung wegen illegaler Ausreise nicht zu rechnen sei. Es sei zudem davon auszugehen, dass er keinen selbständigen Ausreiseentschluss gefasst habe, sondern mit seiner älteren Schwester gereist sei, daher habe er nichts zu befürchten.</w:t>
      </w:r>
    </w:p>
    <w:p>
      <w:r>
        <w:rPr>
          <w:b/>
        </w:rPr>
        <w:t>E. 6.2</w:t>
      </w:r>
    </w:p>
    <w:p>
      <w:r>
        <w:t>Dagegen brachte der Beschwerdeführer vor, er sei zum Zeitpunkt der Ausreise elf Jahre und zehn Monate, also fast 12 Jahre alt gewesen. Die menschenverachtende Haltung des eritreischen Regimes sei gut dokumentiert, auch Minderjährige würden zum Nationaldienst einberufen. Unter Verweis auf verschiedene Berichte internationaler Institutionen führt er weiterhin aus, dass in Eritrea auch Kinder inhaftiert würden, insbesondere falls bereits Mitglieder der Familie illegal ausgereist seien.</w:t>
      </w:r>
    </w:p>
    <w:p>
      <w:r>
        <w:rPr>
          <w:b/>
        </w:rPr>
        <w:t>E. 6.3</w:t>
      </w:r>
    </w:p>
    <w:p>
      <w:r>
        <w:t>Es wurde von der Vorinstanz nicht bestritten, dass der Beschwerdeführer mit (...) Eritrea illegal und ohne Reisepapiere verlassen hat (vgl. act. C8/9, F. 4.07 und F. 5, act C36/8 F 45 - 56). Auch das Bundesverwaltungsgericht hält diese Angaben für glaubhaft.</w:t>
      </w:r>
    </w:p>
    <w:p>
      <w:r>
        <w:rPr>
          <w:b/>
        </w:rPr>
        <w:t>E. 7.1</w:t>
      </w:r>
    </w:p>
    <w:p>
      <w:r>
        <w:t>Das Bundesverwaltungsgericht befasste sich in seinem als Referenzurteil publizierten Urteil D-7898/2015 vom 30. Januar 2017 mit der Frage, ob Eritreer und Eritreerinnen, die ihr Land illegal verlassen haben, bei einer Rückkehr Verfolgung zu befürchten hätten. Bisher ging das Gericht in gefestigter Rechtsprechung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Urteil des Bundesverwaltungsgerichts D-3892/2008 vom 6. April 2010 E. 5.3.2).</w:t>
      </w:r>
    </w:p>
    <w:p>
      <w:r>
        <w:rPr>
          <w:b/>
        </w:rPr>
        <w:t>E. 7.2</w:t>
      </w:r>
    </w:p>
    <w:p>
      <w:r>
        <w:t>Im Referenzurteil D-7898/2015 analysierte das Gericht erneut die Lage in Eritrea betreffend die Möglichkeit der Ausreise und die möglichen Konsequenzen einer nachweislich illegalen Ausreise (vgl. ebenda, E. 4.8 - 4.10). Unter Berufung auf die Berichte verschiedener Organisationen und in Würdigung der Erkenntnisse aus verschiedenen Fact-Finding-Missionen in Eritrea, erachtete das Gericht genügend Hinweise für verdichtet, wonach sich die Situation von Personen, welche beim Versuch einer illegalen Ausreise gefasst worden seien, von derjenigen von Personen unterscheide, die nach einer illegalen Ausreise in die Heimat zurückkehrten.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ebenda,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ebenda,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7.3</w:t>
      </w:r>
    </w:p>
    <w:p>
      <w:r>
        <w:t>Derartige zusätzliche Faktoren sind im Falle des Beschwerdeführers nicht ersichtlich. Er verliess Eritrea bereits im Kindesalter und hatte nach eigenen Angaben nie Kontakt mit den Behörden betreffend den Einzug in den Nationaldienst gehabt (vgl. act. C36/8, F. 41). Weitere Anknüpfungspunkte, welche den Beschwerdeführer in den Augen des eritreischen Regimes als missliebige Person erscheinen lassen könnten, sind nicht ersichtlich. Der Beschwerdeführer erfüllt die Flüchtlingseigenschaft nicht.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davon jedoch unberührt.</w:t>
      </w:r>
    </w:p>
    <w:p>
      <w:r>
        <w:rPr>
          <w:b/>
        </w:rPr>
        <w:t>E. 9</w:t>
      </w:r>
    </w:p>
    <w:p>
      <w:r>
        <w:t>Bei diesem Ausgang des Verfahrens wären die Kosten dem Beschwerdeführer aufzuerlegen (Art. 63 Abs. 1 VwVG). Allerdings wurde ihm die unentgeltliche Prozessführung gemäss Art. 65 Abs. 1 VwVG bewilligt, weshalb keine Kosten erhoben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