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D-590/2022 vom 17. Februar 2022</w:t>
      </w:r>
    </w:p>
    <w:p>
      <w:r>
        <w:t>Bundesverwaltungsgericht, 2022-02-17, DE</w:t>
      </w:r>
    </w:p>
    <w:p>
      <w:r>
        <w:rPr>
          <w:b/>
        </w:rPr>
        <w:t xml:space="preserve">Quelle: </w:t>
      </w:r>
      <w:r>
        <w:t>https://mcp.opencaselaw.ch/entscheid/bvger_D-590_2022</w:t>
      </w:r>
    </w:p>
    <w:p>
      <w:r>
        <w:t>FR: TAF D-590/2022 du 17 février 2022</w:t>
      </w:r>
    </w:p>
    <w:p>
      <w:r>
        <w:t>IT: TAF D-590/2022 del 17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soweit sie nicht das Begehren um Feststellung der aufschiebenden Wirkung betrifft (vgl. Art. 55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D-590/2022 Seite 5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wird gerügt, das SEM habe den rechtserheblichen Sachverhalt unrichtig und unvollständig festgestellt, was eine Verletzung von Bundesrecht darstelle. Diese Rüge ist nicht geeignet, eine Kassation der vorinstanzlichen Verfü- gung zu bewirken. Es wird geltend gemacht, die vorgebrachte Verfolgung knüpfe an ein flüchtlingsrechtliches Motiv an, es bestehe ein zeitlicher Kau- salzusammenhang und die Furcht des Beschwerdeführers vor künftiger Verfolgung sei objektiv begründet. Diese Vorbringen zielen allesamt auf deren rechtliche Würdigung ab, das heisst, auf die Frage, ob die Vorinstanz das Recht richtig angewendet hat. Dies stellt einen Beschwerdegrund nach Art 106 Abs. 1 lit. a. AsylG dar. Insofern ist weder aus den Vorbringen in der Beschwerde noch aus den Akten ersichtlich, inwiefern die Vorinstanz den rechtserheblichen Sachverhalt unrichtig respektive unvollständig fest- gestellt haben sollte. Im Übrigen wurde der Entscheid so abgefasst, dass ihn der Beschwerdeführer sachgerecht anfechten konnte. Die entspre- chende Rüge des Beschwerdeführers erweist sich als unbegründet.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Zur Begründung des ablehnenden Entscheids führte die Vorinstanz aus, der Beschwerdeführer sei Opfer eines gemeinrechtlichen Delikts ge-</w:t>
      </w:r>
    </w:p>
    <w:p>
      <w:r>
        <w:t>D-590/2022 Seite 6 worden, weshalb weder der Vergewaltigung noch der drohenden Veröffent- lichung der Aufnahmen ein flüchtlingsrechtlich relevantes Verfolgungsmo- tiv zugrunde liege. Zudem bestehe kein objektiv begründeter Anlass zur Annahme, er werde in Pakistan in absehbarer Zukunft flüchtlingsrechtlich relevanter Verfolgung ausgesetzt sein, da er nach der Vergewaltigung über ein halbes Jahr in Pakistan geblieben und niemals auf die Aufnahmen an- gesprochen worden sei. Es gebe auch keine Hinweise darauf, dass die Aufnahmen veröffentlicht worden seien. Angesichts der geltend gemachten Umstände, dass seine Eltern vom Ort des Geschehens weggezogen seien, sei nicht nachvollziehbar, wie die Täter ihn erneut ausfindig machen und erpressen könnten. Ferner liege das Vorgefallene knapp sechs Jahre in der Vergangenheit; in dieser Zeit hätten weder er noch seine Familie von einer Veröffentlichung der Aufnahme erfahren. Schliesslich sei bei einer allfälligen Veröffentlichung der Aufnahmen davon auszugehen, dass er auf- grund der Geschehnisse betreffend seinen Freund von der Gesellschaft ebenfalls als Opfer betrachtet werden würde.</w:t>
      </w:r>
    </w:p>
    <w:p>
      <w:r>
        <w:rPr>
          <w:b/>
        </w:rPr>
        <w:t>E. 5.2</w:t>
      </w:r>
    </w:p>
    <w:p>
      <w:r>
        <w:t>In seiner Beschwerde brachte der Beschwerdeführer vor, die Vorinstanz habe nichts von seinem Asylgesuch verstanden. Er mache keine Verfolgung aufgrund seiner sexuellen Orientierung, sondern auf- grund der Zugehörigkeit zu einer bestimmten sozialen Gruppe geltend. Ausserdem habe er Pakistan innert kurzer Zeit nach den Geschehnissen verlassen. Zwar sei Homosexualität im pakistanischen Strafgesetzbuch nicht explizit genannt; Homosexualität würde aber nach Art. 377 des Straf- gesetzbuchs verfolgt. Der Strafbestimmung gemäss werde «unnatürlicher» Geschlechtsverkehr mit mindestens zwei Jahren bis zu lebenslänglicher Haft und Geldstrafe bestraft. Seit der Einführung der Scharia könnten ho- mosexuelle Handlungen mit Peitschenhieben, Haft oder dem Tod bestraft werden.</w:t>
      </w:r>
    </w:p>
    <w:p>
      <w:r>
        <w:rPr>
          <w:b/>
        </w:rPr>
        <w:t>E. 6.1</w:t>
      </w:r>
    </w:p>
    <w:p>
      <w:r>
        <w:t>Der Beschwerdeführer bringt vor, er erfülle die Flüchtlingseigenschaft einerseits aufgrund der erlittenen Vergewaltigung und weil er – unter der Annahme des zukünftigen Bekanntwerdens der Vergewaltigung oder der Aufnahmen – in den Augen des pakistanischen Staats und der paschtuni- schen Gemeinschaft als vermeintlich homosexuell gelten würde und dem- entsprechend bestraft werden könnte. Dieses Vorbringen weist auf das Be- stehen möglicher objektiver Nachfluchtgründe hin. Die Vorbringen sind auseinanderzuhalten und daher im Folgenden getrennt zu prüfen.</w:t>
      </w:r>
    </w:p>
    <w:p>
      <w:r>
        <w:t>D-590/2022 Seite 7</w:t>
      </w:r>
    </w:p>
    <w:p>
      <w:r>
        <w:rPr>
          <w:b/>
        </w:rPr>
        <w:t>E. 6.2</w:t>
      </w:r>
    </w:p>
    <w:p>
      <w:r>
        <w:t>Hinsichtlich der erlittenen Vergewaltigung ist festzuhalten, dass die gel- tend gemachten Nachteile zweifellos die Intensität eines ernsthaften Nach- teils erreichen (vgl. BVGE 2007/31 E. 5.2; Urteil des BVGer D-3016/2019 vom 3. Februar 2020 E. 6.2.2; auch schon EMARK 1996/16 E. 4). Die er- littenen Nachteile wurden dem Beschwerdeführer durch ihm bekannte Männer aus seiner Wohngegend zugefügt. Eine solche Verfolgung durch nichtstaatliche Akteure kann flüchtlingsrechtlich beachtlich sein, wenn es der betroffenen Person nicht möglich ist, im Heimatstaat adäquaten Schutz zu finden. Nach der sogenannten Schutztheorie (vgl. Entscheidungen und Mitteilungen der Schweizerischen Asylrekurskommission [EMARK] 2006/18) ist nichtstaatliche Verfolgung flüchtlingsrechtlich nur dann rele- vant, wenn der Staat unfähig oder nicht willens ist, Schutz vor einer solchen Verfolgung zu bieten. Eine Garantie für langfristigen individuellen Schutz der von nichtstaatlicher Verfolgung bedrohten Person kann dabei nicht ver- langt werden. So kann es keinem Staat gelingen, jederzeit und überall die absolute Sicherheit seiner Bürgerinnen und Bürger zu gewährleisten. Hin- gegen muss der Staat eine funktionierende und effiziente Schutzinfrastruk- tur zur Verfügung stellen. Zudem muss die Inanspruchnahme des Schutzsystems der betroffenen Person objektiv zugänglich und individuell zumutbar sein, was jeweils im Rahmen einer Einzelfallprüfung unter Be- rücksichtigung des länderspezifischen Kontextes zu beurteilen ist (vgl. BVGE 2011/51 E. 7.3 f. m.w.H. sowie die Urteile des BVGer D-5307/2020 vom 7. Dezember 2020 E. 7.2; E-4446/2018 vom 29. August 2018 E. 6.2.1). Das Bundesverwaltungsgericht hat den pakistanischen Staat – bis auf ge- wisse Gebiete im Nordwesen des Landes – als grundsätzlich schutzfähig bezeichnet (vgl. Urteile des BVGer E-5597/2020 vom 25. November 2020 E. 5.3.4 m.w.H; D-5307/2020 E. 7.3). Ob dem Beschwerdeführer in seiner konkreten Situation auch hätte zugemutet werden können, Anzeige wegen seiner erlittener Vergewaltigung und des sexuellen Missbrauchs bei den örtlichen Sicherheitsbehörden zu erstatten, kann vorliegend offenbleiben, da er vor der lokal beschränkten Verfolgung durch Dritte auch internen Schutz in einem anderen Landesteil hätte finden können (vgl. Urteil des BVGer D-188/2016 vom 25. Februar 2016 E. 5.2). Die Flüchtlingseigenschaft setzt ein in Art. 3 Abs. 1 AsylG abschliessend aufgelistetes Motiv voraus. Diesbezüglich kam die Vorinstanz zum Schluss, bei den erlittenen Nachteilen handle es sich um gemeinrechtliche Delikte, weshalb den Verfolgungshandlungen kein flüchtlingsrechtlich rele-</w:t>
      </w:r>
    </w:p>
    <w:p>
      <w:r>
        <w:t>D-590/2022 Seite 8 vantes Motiv zugrunde liege. In der Beschwerde brachte der Beschwerde- führer vor, seine erlittenen Nachteile knüpften nicht an seine sexuelle Ori- entierung, sondern an der Zugehörigkeit zu einer bestimmten sozialen Gruppe an. Das Bundesverwaltungsgericht stellt sodann fest, dass weder aus den Akten noch den Vorbringen in der Beschwerde ersichtlich ist, in- wiefern der Beschwerdeführer einer bestimmten sozialen Gruppe angehö- ren soll, zumal er gemäss eigenen Aussagen zufälliges Opfer der beiden Täter geworden sei (A23/16 F104 f.). Es ist daher – in Übereinstimmung mit der Vorinstanz – davon auszugehen, dass es sich bei den erlittenen Nachteilen um gemeinrechtliche Delikte gehandelt hat, weshalb die Verfol- gungshandlungen der Täterschaft nicht an ein flüchtlingsrechtlich relevan- tes Motiv anknüpfen. Ob – wie vom Beschwerdeführer in der Beschwerde vorgebracht wurde – ein Kausalzusammenhang zwischen den erlittenen Nachteilen und seiner Ausreise besteht, kann nachfolgend offengelassen werden, da er internen Schutz hätte beanspruchen können und der erlittenen Vergewaltigung kein flüchtlingsrechtlich relevantes Motiv zugrunde liegt. Der Beschwerdeführer erfüllt deshalb die Anforderungen an die Flüchtlingseigenschaft in Bezug auf die geltend gemachten Vorfluchtgründe nicht.</w:t>
      </w:r>
    </w:p>
    <w:p>
      <w:r>
        <w:rPr>
          <w:b/>
        </w:rPr>
        <w:t>E. 6.3</w:t>
      </w:r>
    </w:p>
    <w:p>
      <w:r>
        <w:t>Zu prüfen bleibt daher, ob dem Beschwerdeführer – unter Annahme des Bekanntwerdens der Vergewaltigung oder der Aufnahmen – seitens des pakistanischen Staats oder der paschtunischen Gemeinschaft ernst- hafte Nachteile bei einer Rückkehr wegen seiner vermeintlichen Homose- xualität drohen würden. Die Annahme begründeter Furcht setzt nach konstanter Rechtsprechung unter anderem voraus, dass er bei einer Rückkehr erhebliche Nachteile gemäss Art. 3 Abs. 2 AsylG mit beachtlicher Wahrscheinlichkeit und in ab- sehbarer Zukunft zu gewärtigen hätte (vgl. etwa BVGE 2013/11 E. 5.1 und 2011/51 E. 6.1, je m.w.H.). Der Beschwerdeführer befindet sich seit dem Vorfall bereits seit rund sechs Jahren im Ausland und er machte nicht geltend, dass die Vergewaltiger inzwischen die ihn kompromittierenden Video-Aufnahmen veröffentlicht oder geteilt hätten (vgl. A37/14 F40, F42, F44). Auch habe er selbst niemals – mit Ausnahme anlässlich der vorinstanzlichen Anhörungen – jemandem gegenüber die erlittene Vergewaltigung erwähnt (vgl. A23/16 F100; A37/14 F56). Angesichts der Umstände, dass weder die Vergewaltigung noch die Aufnahmen davon in den letzten sechs Jahren bekannt geworden sind, ist</w:t>
      </w:r>
    </w:p>
    <w:p>
      <w:r>
        <w:t>D-590/2022 Seite 9 schlechterdings nicht davon auszugehen, dass diese zukünftig publik ge- macht würden. Es ist daher nicht absehbar, dass der pakistanische Staat oder die paschtunische Gemeinschaft davon Kenntnis erlangen könnte. Selbst bei Bekanntwerden der Geschehnisse oder der Aufnahmen er- scheint eine strafrechtliche Ahndung des Beschwerdeführers unwahr- scheinlich, da die Tatbestände des «unnatürlichen» Geschlechtsverkehrs nach Art. 377 des Strafgesetzbuchs und des Ehebruchs (Zina) nach den sog. «Hudhood Ordinances» in der Praxis kaum je angewendet wer- den. So geht das Bundesverwaltungsgericht in seiner bisherigen und nach wie vor gültigen Praxis nicht davon aus, dass homosexuelle Personen in Pakistan einer Kollektivverfolgung ausgesetzt wären (vgl. Ur- teile des BVGer E-4373/2013 vom 25. Oktober 2013 E. 4.4.3 m.w.H.; E-4396/2021 vom 5. Januar 2022 E. 5.2.5; vgl. auch UK Home Office, Country Policy and Information Note, Pakistan: Sexual orientation and gen- der identity or expression, Juli 2019, S. 15, &lt; https://assets.publishing.ser- vice.gov.uk/government/uploads/system/uploads/attachment_data/file/- 814050/Pakistan-SOGIE-CPIN-v3.0_July_2019_.pdf) &gt;, abgerufen am 11.02.2022). Ebenfalls unwahrscheinlich erscheint eine allfällige Bestrafung oder Äch- tung durch die paschtunische Gemeinschaft. Für diese Einschätzung spricht, dass der Freund C._______ in der Folge der Vergewaltigung – ent- gegen den eigenen Befürchtungen des Beschwerdeführers – aufgrund der erlittenen Ehrverletzung keine Bestrafungen oder Konsequenzen erfahren hat. Vielmehr brachte der Beschwerdeführer vor, dass einer der Täter, D._______, sich durch das Öffentlichmachen der Tat gegenüber C._______ gezwungen sah, das Land zu verlassen; er soll sich nun in Grie- chenland befinden (vgl. A46/4). Unter diesen Umständen ist nicht davon auszugehen, dass dem Be- schwerdeführer bei einer Rückkehr nach Pakistan ernsthafte Nachteile auf- grund des Bekanntwerdens der Vergewaltigung oder der Aufnahmen dro- hen würden; seine Furcht, strafrechtlich oder gemäss den «Hudhood Ordi- nances» belangt oder durch die paschtunische Gemeinschaft bestraft zu werden, erscheint objektiv nicht begründet.</w:t>
      </w:r>
    </w:p>
    <w:p>
      <w:r>
        <w:rPr>
          <w:b/>
        </w:rPr>
        <w:t>E. 6.4</w:t>
      </w:r>
    </w:p>
    <w:p>
      <w:r>
        <w:t>Auch das Bundesverwaltungsgericht geht nach dem Dargelegten da- von aus, dass der Beschwerdeführer keine asylbeachtlichen Vorbringen geltend gemacht hat. Die Ausführungen in der Beschwerde vermögen diese Einschätzung nicht zu erschüttern.</w:t>
      </w:r>
    </w:p>
    <w:p>
      <w:r>
        <w:t>D-590/2022 Seite 10</w:t>
      </w:r>
    </w:p>
    <w:p>
      <w:r>
        <w:rPr>
          <w:b/>
        </w:rPr>
        <w:t>E. 6.5</w:t>
      </w:r>
    </w:p>
    <w:p>
      <w:r>
        <w:t>Die Vorinstanz hat demnach die Flüchtlingseigenschaft des Beschwer- deführers zu Recht verneint und dessen Asylgesuch zutreffend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 rauf hin, dass das Prinzip des flüchtlingsrechtlichen Non-Refoulement nur Personen schützt, die die Flüchtlingseigenschaft erfüllen. Da es dem</w:t>
      </w:r>
    </w:p>
    <w:p>
      <w:r>
        <w:t>D-590/2022 Seite 11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rPr>
          <w:b/>
        </w:rPr>
        <w:t>E. 8.5</w:t>
      </w:r>
    </w:p>
    <w:p>
      <w:r>
        <w:t>Aus der Beschwerde geht hervor, dass sich der Beschwerdeführer vor erneuten Angriffen auf seine sexuelle Integrität, vor strafrechtlicher Verfol- gung respektive einer Ahndung gemäss den «Hudhood Ordinances» und vor einer Bestrafung durch die paschtunische Gemeinschaft fürchtet. Mit Blick auf die Befürchtung des Beschwerdeführers, erneut Opfer sexu- eller Gewalt durch dieselben Täter zu werden, ist nicht vom Bestehen einer konkreten Gefahr auszugehen, da nicht nachvollziehbar erscheint, inwie- fern die Täter ihn nach einer Rückkehr ausfindig machen könnten, zumal seine Familie seinen früheren Wohnort verlassen habe und seither etwa eine halbe Stunde entfernt wohnhaft sei (vgl. A36/14 F64). Sollte sich der Beschwerdeführer trotz des Umzugs seiner Familie weiterhin vor weiteren Akten der Täter fürchten, steht es ihm frei, sich in einen anderen Landesteil zu begeben. Hinsichtlich der Furcht vor strafrechtlicher Verfolgung respektive einer Ahn- dung gemäss den «Hudhood Ordinances» und vor einer Bestrafung durch die eigene Gemeinschaft ist auf das im Zusammenhang mit allfälligen Nachfluchtgründen Dargelegte zu verweisen (E. 6.2); insofern erscheint eine konkrete Gefahr der Verwirklichung einer völkerrechtswidrigen Be- handlung oder Bestrafung durch den pakistanischen Staat oder die eigene Gemeinschaft unwahrscheinlich. Unter diesen Umständen ist nicht davon auszugehen, dass dem Beschwer- deführer bei einer Rückkehr nach Pakistan das Risiko einer unangemes- senen oder erniedrigenden Strafe oder unmenschlichen Behandlung im Sinne des Art. 3 EMRK oder des Art. 3 FoK drohen würde.</w:t>
      </w:r>
    </w:p>
    <w:p>
      <w:r>
        <w:t>D-590/2022 Seite 12 Auch die allgemeine Menschenrechtssituation im Heimatstaat Pakistan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Pakistan herrscht nach konstanter Rechtsprechung, trotz teilweise an- gespannter Lage, keine landesweite Situation allgemeiner Gewalt, die zur Annahme führen müsste, jede dorthin zurückkehrende Person sei mit er- heblicher Wahrscheinlichkeit konkret gefährdet. Der Wegweisungsvollzug ist daher nicht generell unzumutbar (vgl. Urteile des BVGer E-4623/2020 vom 23. Juni 2021 E. 9.3.2; E-1535/2021 vom 30. April 2021 E. 8.4.2 und E-4446/2018 E. 8.3.1). Den Akten lassen sich auch keine konkreten Anhaltspunkte dafür entneh- men, dass der Beschwerdeführer aus individuellen Gründen wirtschaftli- cher oder sozialer Natur bei einer Rückkehr nach Pakistan in eine existenz- bedrohende Situation geraten würde, zumal eine solche auch nicht geltend gemacht wird. Der Beschwerdeführer gab an, als Verkäufer und Rik- schafahrer gearbeitet zu haben (vgl. A23/16 F42, F45 ff.; A37/14 F14, F18 ff., F31), sein Bruder habe ihm für seine Ausreise 8'000 Euro gegeben (vgl. A23/16 F68 ff., F101; A37/14 F51 ff.), die Familie habe die Möglichkeit gehabt, in ein wohnlicheres Haus zu ziehen (vgl. A37/14 F55) und er pflege regelmässigen Kontakt zu seiner Familie (vgl. A23/16 F26 ff.). Insofern ist von einem intakten Beziehungsnetz und wirtschaftlichen Möglichkeiten auszugehen. Mit Blick auf den gesundheitlichen Zustand des Beschwerdeführers führte er anlässlich der Anhörungen an, dass es ihm gut gehe (vgl. A37/14 F5 f.), er aber unter wiederkehrenden Brustschmerzen leide (vgl. A37/14 F7 f.). Seine grössten Probleme seien psychischer Natur (vgl. A23/16 F110). Er sei unruhig, habe den Zwang Dinge zu zählen und verbringe schlaflose Nächte (vgl. A23/16 F111); er gehe innerlich kaputt und merke, dass es ihm von Tag zu Tag schlechter gehe (vgl. A37/14 F93). Dem Beschwerdeführer wurden daher (…) und (…) verschrieben (vgl. A46/4).</w:t>
      </w:r>
    </w:p>
    <w:p>
      <w:r>
        <w:t>D-590/2022 Seite 13 Zwar mag es sein, dass das pakistanische Gesundheitssystem Mängel aufweist und die medizinische Versorgung nicht dem in der Schweiz vor- herrschenden Standard entspricht. Die grundsätzliche Versorgung in Pa- kistan dürfte, auch in Bezug auf die Behandlung der vom Beschwerdefüh- rer vorgebrachten psychischen Probleme, gewährleistet sein (vgl. E-4623/2020 E. 9.3.3). Er hat ausserdem die Möglichkeit, allfällige zusätz- liche medizinische Hilfeleistungen im Rahmen der individuellen Rückkehr- hilfe (Art. 93 Abs. 1 Bst. d AsylG) zu beantragen. Daran ändert auch der in der Beschwerde eingereichte ärztliche Bericht vom 30. November 2021 nichts, zumal die Vorinstanz diesen bereits gewürdigt hat. 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Angesichts des vorliegenden, direkten Entscheids in der Sache erweist sich der Antrag auf Verzicht zur Erhebung eines Kostenvorschusses als gegenstandslos. Das Gesuch um Gewährung der unentgeltlichen Prozessführung (Art. 65 Abs. 1 VwVG) ist ungeachtet der geltend gemachten prozessualen Bedürf- tigkeit abzuweisen, da sich die Beschwerdebegehren entsprechend den vorstehenden Erwägungen von vornherein als aussichtslos erwiesen ha- ben.</w:t>
      </w:r>
    </w:p>
    <w:p>
      <w:r>
        <w:t>D-590/2022 Seite 14</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D-590/2022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