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D-5908/2011 vom 13. Juni 2013</w:t>
      </w:r>
    </w:p>
    <w:p>
      <w:r>
        <w:t>Bundesverwaltungsgericht, 2013-06-13, DE</w:t>
      </w:r>
    </w:p>
    <w:p>
      <w:r>
        <w:rPr>
          <w:b/>
        </w:rPr>
        <w:t xml:space="preserve">Quelle: </w:t>
      </w:r>
      <w:r>
        <w:t>https://mcp.opencaselaw.ch/entscheid/bvger_D-5908_2011</w:t>
      </w:r>
    </w:p>
    <w:p>
      <w:r>
        <w:t>FR: TAF D-5908/2011 du 13 juin 2013</w:t>
      </w:r>
    </w:p>
    <w:p>
      <w:r>
        <w:t>IT: TAF D-5908/2011 del 13 giugno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und der Begründung ausschliesslich gegen den Vollzug der von der Vorinstanz verfügten Wegweisung. Die Verfügung des BFM vom 28. September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den formellen Rügen - lediglich die Frage, ob das Bundesamt den Vollzug der Wegweisung zu Recht als zulässig, zumutbar und möglich erklärt hat.</w:t>
      </w:r>
    </w:p>
    <w:p>
      <w:r>
        <w:rPr>
          <w:b/>
        </w:rPr>
        <w:t>E. 5.1</w:t>
      </w:r>
    </w:p>
    <w:p>
      <w:r>
        <w:t>Der Beschwerdeführer macht in formeller Hinsicht geltend, dass die Vorinstanz die Begründungspflicht verletzt habe, indem sie es unterlassen habe, die relevanten Herkunftsländerinformationen, auf welche sie ihren Entscheid stütze, offenzulegen. Der gebotenen Begründungspflicht sei die Vorinstanz auch deshalb nicht in genügendem Masse nachgekommen, da sie in der angefochtenen Verfügung ohne Begründung von der langjährigen Praxis des Bundesverwaltungsgerichts abgewichen sei. Daher sei die angefochtene Verfügung in den Dispositionspunkten 4 und 5 infolge Verletzung des Grundsatzes des rechtlichen Gehörs aufzuheben und an die Vorinstanz zur Neubeurteilung zurückzuweisen.</w:t>
      </w:r>
    </w:p>
    <w:p>
      <w:r>
        <w:rPr>
          <w:b/>
        </w:rPr>
        <w:t>E. 5.2</w:t>
      </w:r>
    </w:p>
    <w:p>
      <w:r>
        <w:t>Diese verfahrensrechtlichen Rügen sind vorab zu prüfen, da sie allenfalls geeignet wären, eine Kassation der vorinstanzlichen Verfügung zu bewirken (vgl.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w:t>
      </w:r>
    </w:p>
    <w:p>
      <w:r>
        <w:t>Soweit in der Beschwerde gerügt wird, die Vorinstanz habe die Begründungspflicht verletzt, indem sie es unterlassen habe, die relevanten Herkunftsländerinformationen, auf welche sie ihren Entscheid stütze, offenzulegen, ist auf die diesbezüglichen Erwägungen in der Zwischenverfügung vom 27. November 2012 zu verweisen, worin das Gesuch um Offenlegung sämtlicher Herkunftsländerinformationen abgewiesen wird. Es liegt keine Verletzung des Akteneinsichtsrechts beziehungsweise der Begründungspflicht vor, da das BFM nicht gehalten war, die verwendeten allgemein zugänglichen Länderinformationen im beantragten Ausmass detailliert offenzulegen.</w:t>
      </w:r>
    </w:p>
    <w:p>
      <w:r>
        <w:rPr>
          <w:b/>
        </w:rPr>
        <w:t>E. 5.5</w:t>
      </w:r>
    </w:p>
    <w:p>
      <w:r>
        <w:t>Bezüglich der Rüge des Beschwerdeführers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kurz nach Erlass der angefochtenen Verfügung in seinem Urteil E-6220/2011 vom 27. Oktober 2011 (publiziert in BVGE 2011/24) zur aktuellen Situation in Sri Lanka geäussert und eine Anpassung seiner in BVGE 2008/2 publizierten Praxis vorgenommen, welche mit derjenigen des BFM im Ergebnis weitgehend übereinstimmt (vgl. E. 6.3.2 nachstehend). Inwiefern das BFM mit seinem Vorgehen die Begründungspflicht verletzt haben soll, ist in Anbetracht der insgesamt ausgewogenen und differenzierten Erwägungen in der angefochtenen Verfügung ohnehin nicht ersichtlich.</w:t>
      </w:r>
    </w:p>
    <w:p>
      <w:r>
        <w:rPr>
          <w:b/>
        </w:rPr>
        <w:t>E. 5.6</w:t>
      </w:r>
    </w:p>
    <w:p>
      <w:r>
        <w:t>Bei dieser Sachlage besteht somit keine Veranlassung, die angefochtene Verfügung aus formellen Gründen aufzuheben, weshalb das entsprechende Rechtsbegehren abzuweisen ist.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hat in BVGE 2011/24 angesichts der veränderten Lage nach dem Ende des srilankischen Bürgerkriegs im Mai 2009 und der militärisch vernichtenden Niederlage der LTTE eine aktualisierte, auch heute noch zutreffende Neubeurteilung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 insbesondere auch die Ostprovinz und die nicht zum Vanni-Gebiet gehörenden Gebiete der Nordprovinz - ist der Wegweisungsvollzug grundsätzlich zumutbar, zumal dort insbesondere keine Situation allgemeiner Gewalt festzustellen ist. Bei aus der Nordprovinz stammenden Personen ist dabei zu differenzieren. Für Personen, die dieses Gebiet erst nach Beendigung des Bürgerkrieges im Mai 2009 verlassen haben, ist die Rückkehr als grundsätzlich zumutbar zu bewerten, wenn davon ausgegangen werden kann, dass diese Personen auf die gleiche oder gleichwertige Lebens- und Wohnsituation zurückgreifen können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wohin der Vollzug als grundsätzlich zumutbar erachtet wird (vgl. BVGE 2011/24 13.2.1.1 - 13.3).</w:t>
      </w:r>
    </w:p>
    <w:p>
      <w:r>
        <w:rPr>
          <w:b/>
        </w:rPr>
        <w:t>E. 6.3.3</w:t>
      </w:r>
    </w:p>
    <w:p>
      <w:r>
        <w:t>Der relativ junge und gemäss Akten gesunde Beschwerdeführer stammt aus dem Norden Sri Lankas, aus Jaffna Town und lebte seit 2002 bis zu seiner Ausreise im Oktober 2008 in Vavuniya, wo sich auch seine Eltern, Geschwister und weitere Verwandte befanden. Zwar gibt der Beschwerdeführer an, er wisse nicht, wo sich diese im heutigen Zeitpunkt befänden; indessen ist wenig glaubhaft, dass er keinerlei Kontakt mit seinen engsten Verwandten haben soll. Jedenfalls ist es dem Beschwerdeführer zuzumuten, sich um erneuten Kontakt zu bemühen, zumal es ihm im Rahmen des erstinstanzlichen Verfahrens mit Hilfe eines Kollegen gelungen ist, seine Identitätskarte zu beschaffen. Im Weiteren verfügt der Beschwerdeführer über eine gute Schulbildung und berufliche Erfahrung im Informatikbereich (vgl. BFM-Protokoll A1 S. 1). Es ist somit davon auszugehen, dass er die vom Bundesverwaltungsgericht in der Lagebeurteilung gemäss BVGE 2011/24 bezüglich der Zumutbarkeit des Wegweisungsvollzugs nach Sri Lan­ka formulierten Kriterien erfüllt. Er wird nach der Rückkehr in sein Heimatland sowohl auf die Unterstützung seiner Familie zählen können und bei seinen Angehörigen eine Unterkunftsmöglichkeit vorfinden, als auch in Zukunft in der Lage sein, sich dank seiner Erfahrun­gen und beruflichen Kenntnisse wieder wirtschaftlich zu integrieren. Insbesondere genügen blosse soziale und wirtschaftliche Schwierigkeiten, von denen die ansässige Bevölkerung im Allgemeinen betroffen ist, nicht, um eine konkrete Gefährdung im Sinne von Art. 83 Abs. 4 AuG darzustellen (vgl. BVGE 2011/24 E. 11.2.2). Es liegen daher keine Anhaltspunkte vor, die darauf schliessen liessen, der Beschwerdeführer sei bei einer Rückkehr nach Sri Lanka einer konkreten Gefährdung im Sinne von Art. 83 Abs. 4 AuG ausgesetzt, weshalb der Vollzug der Wegweisung als zumutbar zu bezeichnen ist.</w:t>
      </w:r>
    </w:p>
    <w:p>
      <w:r>
        <w:rPr>
          <w:b/>
        </w:rPr>
        <w:t>E. 6.4</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Da indessen dem Beschwerdeführer mit Zwischenverfügung vom 2. November 2011 die unentgeltliche Rechtspflege im Sinne von Art. 65 Abs. 1 VwVG gewährt wurde und weiterhin von der prozessualen Bedürftigkeit des Beschwerdeführers auszugehen ist, wird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