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D-5906/2010 vom 13. September 2010</w:t>
      </w:r>
    </w:p>
    <w:p>
      <w:r>
        <w:t>Bundesverwaltungsgericht, 2010-09-13, DE</w:t>
      </w:r>
    </w:p>
    <w:p>
      <w:r>
        <w:rPr>
          <w:b/>
        </w:rPr>
        <w:t xml:space="preserve">Quelle: </w:t>
      </w:r>
      <w:r>
        <w:t>https://mcp.opencaselaw.ch/entscheid/bvger_D-5906_2010</w:t>
      </w:r>
    </w:p>
    <w:p>
      <w:r>
        <w:t>FR: TAF D-5906/2010 du 13 septembre 2010</w:t>
      </w:r>
    </w:p>
    <w:p>
      <w:r>
        <w:t>IT: TAF D-5906/2010 del 13 settembre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Beschwerdeeingaben sind nicht in einer Amtssprache des Bundes abgefasst. Auf die Ansetzung einer Frist zur Beschwerdeverbesserung kann indessen verzichtet werden, da den in Spanisch verfassten Beschwerdeeingaben genügend klare, sinngemässe Rechtsbegehren und deren Begründung zu entnehmen sind und ohne weiteres darüber befunden werden kann.</w:t>
      </w:r>
    </w:p>
    <w:p>
      <w:r>
        <w:rPr>
          <w:b/>
        </w:rPr>
        <w:t>E. 1.4</w:t>
      </w:r>
    </w:p>
    <w:p>
      <w:r>
        <w:t>Angesichts des engen persönlichen und sachlichen Zusammenhangs der Beschwerdeverfahren sind diese zu vereinigen (vgl. Vera Marantelli-Sonanini/Said Huber, in: Praxiskommentar VwVG, Waldmann/ Weissenberger (Hrsg.), Zürich 2009, Art. 6 N 10).</w:t>
      </w:r>
    </w:p>
    <w:p>
      <w:r>
        <w:rPr>
          <w:b/>
        </w:rPr>
        <w:t>E. 1.5</w:t>
      </w:r>
    </w:p>
    <w:p>
      <w:r>
        <w:t>Die Beschwerden sind frist- und - mit Ausnahme des genannten sprachlichen Mangels - formgerecht eingereicht (Art. 108 Abs. 1 AsylG, Art. 6 AsylG i.V.m. Art. 52 VwVG). Die Beschwerdeführenden sind durch die angefochtenen Verfügungen besonders berührt und haben ein schutzwürdiges Interesse an deren Aufhebung beziehungsweise Änderung; sie sind daher zur Einreichung der Beschwerden legitimiert (Art. 105 AsylG i.V.m. Art. 48 Abs. 1 VwVG). Auf die Beschwerden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solche, weshalb der Beschwerdeentscheid nur summarisch zu begründen ist (Art. 111a Abs. 2 AsylG). Gestützt auf Art. 111a Abs. 1 AsylG wurde vorliegend auf die Durchführung des Schriftenwechsels verzichtet.</w:t>
      </w:r>
    </w:p>
    <w:p>
      <w:r>
        <w:rPr>
          <w:b/>
        </w:rPr>
        <w:t>E. 4.1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(BVGE a.a.O. E. 5.7). Schliesslich ist das Bundesamt in jedem Fall gehalten, das Absehen von einer Befragung in der Verfügung über das Asylgesuch zu begründen (BVGE a.a.O. E. 5.6 sowie 5.7).</w:t>
      </w:r>
    </w:p>
    <w:p>
      <w:r>
        <w:rPr>
          <w:b/>
        </w:rPr>
        <w:t>E. 4.2</w:t>
      </w:r>
    </w:p>
    <w:p>
      <w:r>
        <w:t>Im vorliegenden Fall wurden die Beschwerdeführenden von der schweizerischen Vertretung in Bogotá zu ihren Asylgesuchen vom 19. Juni 2008 nicht befragt, da die Botschaft dazu gemäss Überweisungsschreiben vom 22. September 2008 beziehungsweise vom 1. Oktober 2008 aus gerichtsnotorischen und mithin nachvollziehbaren Kapazitätsgründen nicht in der Lage war; den Beschwerdeführenden wurde indessen mit Zwischenverfügungen des BFM vom 12. beziehungsweise 19. April 2010 Gelegenheit zur weiteren Konkretisierung ihrer Asylgründe sowie das rechtliche Gehör im Hinblick auf die vom Bundesamt in Erwägung gezogene Abweisung der Asylgesuche gewährt; die Beschwerdeführenden haben mit Eingaben vom 19. Mai 2010 von dieser Möglichkeit Gebrauch gemacht. Aufgrund der einlässlichen Ausführungen der Beschwerdeführenden in ihren schriftlichen Asylgesuchen und den weiteren Eingaben sowie der zahlreichen von ihnen eingereichten Beweismittel erscheint sodann der entscheidwesentliche Sachverhalt - wie das BFM in den angefochtenen Verfügungen zu Recht ausführt - als genüglich abgeklärt. Schliesslich hat das BFM in seinen Verfügungen vom 7. beziehungsweise 14. Juli 2010 das Absehen von persönlichen Anhörungen einlässlich begründet. Bei dieser Sachlage ist festzuhalten, dass das BFM den verfahrensrechtlichen Anforderungen Genüge getan hat.</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welche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Nach Prüfung der Akten gelangt das Bundesverwaltungsgericht zunächst zum Schluss, dass die Vorinstanz zutreffend festgestellt hat, die Beschwerdeführenden hätten in ihrem Gesuch keine besonders nahen Beziehungen zur Schweiz geltend gemacht. Im Weiteren hat das Bundesamt zu Recht erwogen, dass es den Beschwerdeführenden zuzumuten sei, in einem anderen Land um Asylgewährung nachzusuchen (vgl.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 von Art. 33 FK, auch wenn als Einschränkung festgestellt werden muss, dass es in den Grenzgebieten - insbesondere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Soweit die Beschwerdeführenden in ihren Beschwerdeeingaben vorbringen, sie hätten nicht in südamerikanischen Ländern um Schutz nachgesucht, weil sie sich von der Schweiz eine bessere Perspektive und Lebensqualität versprächen, ist festzuhalten, dass in den genannten Ländern die Lebensumstände für Flüchtlinge zwar allenfalls nicht in jeder Hinsicht schweizerischen Standards entsprechen mögen, aber jedenfalls durchaus ein menschenwürdiges Dasein ermöglichen. Insgesamt ergeben sich demnach keine Anhaltspunkte, die darauf schliessen liessen, es sei den Beschwerdeführenden praktisch unmöglich oder objektiv unzumutbar, sich in einen anderen Staat, insbesondere einen der Nachbarstaaten Kolumbiens, zu begeben (vgl. EMARK 2004 Nr. 20 sowie 1997 Nr. 15 E. 2f S. 132). Dies gilt umso mehr, als aus den Akten ersichtlich ist, dass es sich bei den Beschwerdeführenden nicht um landesweit bekannte Persönlichkeiten handelt, die aufgrund ihrer besonders exponierten Stellung auch bei einer Flucht ins nahe Ausland allenfalls befürchten müssten, weiterhin verfolgt zu werden.</w:t>
      </w:r>
    </w:p>
    <w:p>
      <w:r>
        <w:rPr>
          <w:b/>
        </w:rPr>
        <w:t>E. 6.2</w:t>
      </w:r>
    </w:p>
    <w:p>
      <w:r>
        <w:t>Bei dieser Sachlage kann letztlich offen bleiben, ob sich die Beschwerdeführenden den geltend gemachten Bedrohungen seitens der FARC allenfalls durch eine innerstaatliche Wohnsitzverlegung dauerhaft entziehen könnten.</w:t>
      </w:r>
    </w:p>
    <w:p>
      <w:r>
        <w:rPr>
          <w:b/>
        </w:rPr>
        <w:t>E. 6.3</w:t>
      </w:r>
    </w:p>
    <w:p>
      <w:r>
        <w:t>Nach dem Gesagten ist zusammenfassend festzuhalten, dass die Beschwerdeführenden aufgrund der Akten über keine konkrete Beziehungsnähe zur Schweiz verfügen, hingegen die Möglichkeit der anderweitigen Schutzsuche haben. Unter diesen Umständen hat die Vorinstanz den Beschwerdeführenden zu Recht die Erteilung der Einreisebewilligung verweigert und die Asylgesuche abgewiesen.</w:t>
      </w:r>
    </w:p>
    <w:p>
      <w:r>
        <w:rPr>
          <w:b/>
        </w:rPr>
        <w:t>E. 7</w:t>
      </w:r>
    </w:p>
    <w:p>
      <w:r>
        <w:t>Aus diesen Erwägungen ergibt sich, dass die angefochtenen Verfügungen Bundesrecht nicht verletzt, den rechtserheblichen Sachverhalt richtig und vollständig feststellen und angemessen sind (Art. 106 AsylG). Die Beschwerden sind nach dem Gesagten abzuweisen.</w:t>
      </w:r>
    </w:p>
    <w:p>
      <w:r>
        <w:rPr>
          <w:b/>
        </w:rPr>
        <w:t>E. 8</w:t>
      </w:r>
    </w:p>
    <w:p>
      <w:r>
        <w:t>Bei diesem Ausgang des Verfahrens wären die Kosten an sich den Beschwerdeführenden aufzuerlegen (Art. 63 Abs. 1 VwVG); aus verwaltungsökonomischen Gründen wird indessen in Anwendung von Art. 6 des Reglements vom 21. Februar 2008 über die Kosten und Entschädigungen vor dem Bundesverwaltungsgericht (VGKE, SR 173.320.2) auf das Erheben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