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D-5905/2018 vom 17. Januar 2020</w:t>
      </w:r>
    </w:p>
    <w:p>
      <w:r>
        <w:t>Bundesverwaltungsgericht, 2020-01-17, FR</w:t>
      </w:r>
    </w:p>
    <w:p>
      <w:r>
        <w:rPr>
          <w:b/>
        </w:rPr>
        <w:t xml:space="preserve">Quelle: </w:t>
      </w:r>
      <w:r>
        <w:t>https://mcp.opencaselaw.ch/entscheid/bvger_D-5905_2018</w:t>
      </w:r>
    </w:p>
    <w:p>
      <w:r>
        <w:t>FR: TAF D-5905/2018 du 17 janvier 2020</w:t>
      </w:r>
    </w:p>
    <w:p>
      <w:r>
        <w:t>IT: TAF D-5905/2018 del 17 gennaio 2020</w:t>
      </w:r>
    </w:p>
    <w:p>
      <w:pPr>
        <w:pStyle w:val="Heading2"/>
      </w:pPr>
      <w:r>
        <w:t>Regeste</w:t>
      </w:r>
    </w:p>
    <w:p>
      <w:r>
        <w:t>Asile et renvoi</w:t>
      </w:r>
    </w:p>
    <w:p>
      <w:pPr>
        <w:pStyle w:val="Heading2"/>
      </w:pPr>
      <w:r>
        <w:t>Erwägungen</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de jurisprudence et de doctrine citées ; ATAF 2010/57 consid. 2.5 ; 2008/12 consid. 5.1).</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En l'occurrence, le Tribunal constate d'emblée que le récit de l'intéressé n'est pas pertinent en matière d'asile en tant qu'il porte sur les événements prétendument survenus aux abords de (...), le (...).</w:t>
      </w:r>
    </w:p>
    <w:p>
      <w:r>
        <w:rPr>
          <w:b/>
        </w:rPr>
        <w:t>E. 4.2</w:t>
      </w:r>
    </w:p>
    <w:p>
      <w:r>
        <w:t>Selon la jurisprudence, la reconnaissance de la qualité de réfugié au sens de l'art. 3 LAsi nécessite notamment l'existence d'un lien temporel étroit entre les préjudices subis et le départ du pays (un laps de temps de six à douze mois, selon les circonstances du cas concret, est jugé comme admissible), de même qu'un lien matériel étroit de causalité entre les préjudices subis et le besoin de protection allégué (cf. ATAF 2011/50 consid. 3.1.2 et réf. cit.). La définition de réfugié telle qu'exprimée à l'art. 3 al. 1 LAsi est, en outre, exhaustive ; 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 du TAF D-1333/2017 du 2 septembre 2019, p. 7 et réf. cit.).</w:t>
      </w:r>
    </w:p>
    <w:p>
      <w:r>
        <w:rPr>
          <w:b/>
        </w:rPr>
        <w:t>E. 4.3</w:t>
      </w:r>
    </w:p>
    <w:p>
      <w:r>
        <w:t>Pour autant que vraisemblables au sens de l'art. 7 LAsi - question pouvant demeurer ouverte - et outre le fait qu'ils résultent d'agissements de tiers et non pas d'acteurs étatiques, les événements du (...) se sont déroulés plus de trois ans avant (...), période à laquelle A._______ aurait quitté son pays d'origine (cf. procès-verbal de l'audition du 26 juillet 2018, point 5.01, p. 5). Dans ces circonstances, force est de constater qu'il n'existe en tout état de cause pas de lien de connexité temporel étroit entre ces événements et le départ allégué d'Iran, de sorte que la pertinence de ces motifs (art. 3 LAsi) doit être écartée.</w:t>
      </w:r>
    </w:p>
    <w:p>
      <w:r>
        <w:rPr>
          <w:b/>
        </w:rPr>
        <w:t>E. 5.1</w:t>
      </w:r>
    </w:p>
    <w:p>
      <w:r>
        <w:t>A ce stade, il convient d'examiner si le SEM a conclu à juste titre à l'invraisemblance des propos du requérant se rapportant aux circonstances de sa fuite (...), après avoir été dénoncé aux autorités par sa belle-famille, consécutivement à une querelle pour des motifs religieux (...).</w:t>
      </w:r>
    </w:p>
    <w:p>
      <w:r>
        <w:rPr>
          <w:b/>
        </w:rPr>
        <w:t>E. 5.2</w:t>
      </w:r>
    </w:p>
    <w:p>
      <w:r>
        <w:t>Le Tribunal relève d'abord que le différend familial repose essentiellement sur des allégations évasives, peu concrètes et de nature toute générale (cf. procès-verbal de l'audition du 20 août 2018, Q. 60 p. 10 ; procès-verbal de l'audition du 24 septembre 2018, Q. 26 p. 4 et Q. 29 à 36, p. 4 s.), impropres à établir le caractère hautement probable de ces faits (art. 7 al. 2 LAsi). Il ressort également des procès-verbaux de ses auditions que, requis par le SEM de rendre à nouveau compte de manière spontanée et détaillée de cet épisode lors de l'audition du 24 septembre 2018, il a dans un premier temps cherché à contourner la question de l'auditrice (cf. verbal-de l'audition du 24 septembre 2018, Q. 24 s., p. 4), pour ensuite livrer un second récit partiel, vague et cantonné à des généralités, dont l'exposé, rigoureusement similaire au précédent sur les points repris, laisse planer le soupçon d'une trame apprise par coeur et, en tout état de cause, n'atteste d'aucun réel vécu des faits relatés (cf. procès-verbal de l'audition du 24 septembre 2018, Q. 24 à 26, p. 4 en lien avec le procès-verbal de l'audition du 20 août 2018, Q. 60, p. 9 s.). Au demeurant, il n'est pas crédible que l'intéressé, qui aurait ouvertement critiqué (...), n'ait pas été en mesure d'en indiquer le thème précis ou le moindre élément objectif s'y rapportant, en dehors du fait qu'il aurait concerné (...) (cf. procès-verbal de l'audition du 24 septembre 2018, Q. 27, p. 4). A cela s'ajoute que l'attitude quérulente dont il aurait fait preuve lors de cette fête est contraire à la logique interne de son récit, attendu que cette rencontre aurait constitué avant tout une tentative de rapprochement entre sa belle-famille et lui (cf. procès-verbal de l'audition du 20 août 2018, Q. 58 s., p. 7 s. en lien avec Q. 60, p. 9). Il convient encore de relever les propos divergents de l'intéressé s'agissant des faits postérieurs à la fête, celui-ci ayant tantôt déclaré être retourné chez lui vers deux heures du matin et s'être entretenu de ces événements avec (...) le lendemain (cf. procès-verbal de l'audition du 20 août 2018, Q. 60 in fine, p. 10), tantôt avoir abordé cette question avec elle le soir même avant de s'endormir (cf. procès-verbal de l'audition du 24 septembre 2018, Q. 45, p. 6).</w:t>
      </w:r>
    </w:p>
    <w:p>
      <w:r>
        <w:rPr>
          <w:b/>
        </w:rPr>
        <w:t>E. 5.3</w:t>
      </w:r>
    </w:p>
    <w:p>
      <w:r>
        <w:t>Intervenant dans le prolongement des éléments précités, les faits décrits par le requérant au sujet de la venue à son domicile d'agents d'Etelaat deux jours plus tard entre cinq et six heures du matin, ne sont pas non plus vraisemblables. A ce propos, force est de constater que ses dires sont particulièrement stéréotypés, s'agissant tant de la venue des autorités que de la manière dont il aurait pris la fuite en sautant du toit de sa maison sur le balcon d'un voisin (cf. not. procès-verbal de l'audition du 20 août 2018, Q. 62 à 63, p. 10 ss). Qu'en outre, le fait qu'il se soit précisément trouvé éveillé à fumer une cigarette sur le rebord d'une fenêtre de sa maison de bon matin, le jour précis où les autorités auraient décidé de s'en prendre à lui constitue, en lien avec les autres circonstances décrites de la fuite, un enchaînement de faits heureux tels que son récit est sujet à caution (cf. ibidem, Q. 62, p. 11). Celui-ci se révèle également illogique en tant que le requérant a déclaré « n'avoir pas pris très au sérieux » le prétendu avertissement téléphonique de sa belle-soeur (cf. procès-verbal de l'audition du 20 août 2018, Q. 62, p. 11). En effet, un tel comportement n'est pas cohérent tant au regard du grave incident familial qu'il a dit être survenu deux jours plus tôt qu'au vu de ses déclarations antérieures, selon lesquelles il aurait accordé un important crédit aux mises en garde de cette personne par le passé (cf. ibidem, Q. 60, p. 9).</w:t>
      </w:r>
    </w:p>
    <w:p>
      <w:r>
        <w:rPr>
          <w:b/>
        </w:rPr>
        <w:t>E. 5.4</w:t>
      </w:r>
    </w:p>
    <w:p>
      <w:r>
        <w:t>Par ailleurs, les informations qu'il aurait obtenues par le biais de tiers après son départ, selon lesquelles son domicile aurait été perquisitionné et son ordinateur confisqué, ou encore celles se rapportant à sa prétendue mise en accusation (...) (cf. procès-verbal de l'audition du 20 août 2018, Q. 63, p. 12 ; procès-verbal de l'audition du 24 septembre 2018, Q. 81 à 93, p. 11 s., Q. 98 à 102, p. 12 s., Q. 110, p. 14) ne permettent pas d'établir à satisfaction de droit l'existence d'une crainte fondée de persécution déterminante en matière d'asile. En effet, conformément à la jurisprudence constante du Tribunal (cf. arrêt du TAF D-4390/2019 du 19 septembre 2019 consid. 5.4.3.1 et réf. cit.), le fait d'apprendre par des tiers que l'on est recherché ou que l'on fait l'objet de menaces ou encore de mesures d'intimidation ne permet pas à lui seul d'admettre la réalité de ce genre d'événements et d'en déduire que le requérant est exposé à une persécution au sens de l'art. 3 LAsi. S'agissant de ses allégations selon lesquelles il aurait relayé sur son compte Facebook des contenus religieux et politiques hostiles au pouvoir iranien à partir de (...) (cf. procès-verbal de l'audition du 24 septembre 2018, Q. 125 à 131, p. 15 s. ; captures d'écran produites en annexe au recours), le Tribunal relève que le requérant n'a pas mentionné avoir rencontré un quelconque problème avec les forces de l'ordre en raison de ses activités sur Internet durant la période de (...). Aussi, rien n'indique que dites activités - pour autant que vraisemblables (art. 7 LAsi) - intéresseraient réellement les autorités de son Etat d'origine.</w:t>
      </w:r>
    </w:p>
    <w:p>
      <w:r>
        <w:rPr>
          <w:b/>
        </w:rPr>
        <w:t>E. 5.5</w:t>
      </w:r>
    </w:p>
    <w:p>
      <w:r>
        <w:t>Enfin, il n'a produit aucun moyen de preuve sérieux, objectif et pertinent propre à corroborer une crainte de persécution future selon l'art. 3 LAsi. Les captures d'écran (cf. correspondance de l'intéressé du 17 janvier 2019 et ses annexes) des prétendues menaces qui lui auraient été adressées via des réseaux sociaux par des tiers, dont l'identité n'est pas établie, n'y changent rien, dès lors qu'il ne peut être exclu que ces moyens constituent des documents de complaisance, établis pour les seuls besoins de la procédure. Dans ces circonstances, leur force probante s'avère d'emblée limitée.</w:t>
      </w:r>
    </w:p>
    <w:p>
      <w:r>
        <w:rPr>
          <w:b/>
        </w:rPr>
        <w:t>E. 5.6</w:t>
      </w:r>
    </w:p>
    <w:p>
      <w:r>
        <w:t>Aussi, au vu de ce qui précède et quand bien même l'argumentation retenue par le Tribunal diffère partiellement de celle de l'autorité inférieure, c'est à juste titre et a fortiori sans arbitraire (art. 9 de la Constitution fédérale de la Confédération suisse du 18 avril 1999 [Cst., RS 101]) que le SEM a considéré le récit du requérant comme ne satisfaisant pas aux conditions de vraisemblance de l'art. 7 LAsi. Il s'ensuit que le recourant n'a pas fait état d'indice concret pouvant laisser présager l'avènement, dans un avenir prochain et selon une haute probabilité, de mesures déterminantes selon l'art. 3 LAsi. Partant, les conditions présidant à la reconnaissance de la qualité de réfugié sur la base d'une crainte fondée de persécution future ne sont en l'occurrence pas satisfaites.</w:t>
      </w:r>
    </w:p>
    <w:p>
      <w:r>
        <w:rPr>
          <w:b/>
        </w:rPr>
        <w:t>E. 5.7</w:t>
      </w:r>
    </w:p>
    <w:p>
      <w:r>
        <w:t>Aussi, le recours doit être rejeté en tant qu'il porte sur le refus du SEM de reconnaître à l'intéressé la qualité de réfugié pour des motifs antérieurs à son départ d'Iran, respectivement en tant qu'il rejette sa demande d'asile.</w:t>
      </w:r>
    </w:p>
    <w:p>
      <w:r>
        <w:rPr>
          <w:b/>
        </w:rPr>
        <w:t>E. 6</w:t>
      </w:r>
    </w:p>
    <w:p>
      <w:r>
        <w:t>En l'absence de tout indice figurant au dossier en lien avec un risque concret de persécution engendré uniquement par son départ d'Iran ou par son comportement postérieur audit départ (motifs subjectifs postérieurs à la fuite ; art. 54 LAsi), force est de constater que l'intéressé ne se prévaut pas de motifs subjectifs postérieurs à la fuite au sens de la disposition précitée. Partant, il n'y a pas lieu non plus de lui reconnaître la qualité de réfugié en application de cette norme.</w:t>
      </w:r>
    </w:p>
    <w:p>
      <w:r>
        <w:rPr>
          <w:b/>
        </w:rPr>
        <w:t>E. 7.1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 (cf. ATAF 2012/31 consid. 6.2 ; 2009/50 consid. 9).</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8.2</w:t>
      </w:r>
    </w:p>
    <w:p>
      <w:r>
        <w:t>In casu, l'exécution du renvoi ne contrevient pas au principe de non-refoulement de l'art. 5 LAsi, l'intéressé ne s'étant pas vu reconnaître la qualité de réfugié (cf. supra).</w:t>
      </w:r>
    </w:p>
    <w:p>
      <w:r>
        <w:rPr>
          <w:b/>
        </w:rPr>
        <w:t>E. 8.3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TAF D-4390/2019 du 19 septembre 2019 consid. 9.3 ; D-4984/2015 du 13 juillet 2017 consid. 10.3 ; D-6981/2013 du 4 février 2016 consid. 7.3 ; D-5124/2010 du 14 juin 2013 consid. 7.1 ; D-987/2011 du 25 mars 2013 consid. 8.2.2 et jurisp. cit.). En l'occurrence, pour les motifs déjà exposés (cf. supra consid. 5 et 6), le recourant n'as pas rendu hautement probable qu'il serait personnellement visé, en cas de retour dans son pays d'origine, par des mesures incompatibles avec l'art. 3 CEDH ou d'autres dispositions contraignantes de droit international.</w:t>
      </w:r>
    </w:p>
    <w:p>
      <w:r>
        <w:rPr>
          <w:b/>
        </w:rPr>
        <w:t>E. 8.4</w:t>
      </w:r>
    </w:p>
    <w:p>
      <w:r>
        <w:t>Dès lors, l'exécution de son renvoi sous forme de refoulement ne transgresse aucun engagement de la Suisse relevant du droit international et s'avère licite (art. 83 al. 3 LEI).</w:t>
      </w:r>
    </w:p>
    <w:p>
      <w:r>
        <w:rPr>
          <w:b/>
        </w:rPr>
        <w:t>E. 9.1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9.3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9.4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w:t>
      </w:r>
    </w:p>
    <w:p>
      <w:r>
        <w:rPr>
          <w:b/>
        </w:rPr>
        <w:t>E. 9.5</w:t>
      </w:r>
    </w:p>
    <w:p>
      <w:r>
        <w:t>En l'occurrence, l'Iran ne connaît pas, malgré un contexte de crise survenu récemment,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Par ailleurs, il ne ressort pas du dossier que le recourant pourrait être mis concrètement en danger pour des motifs qui lui seraient propres. En effet, celui-ci est jeune (...), au bénéfice d'une formation de niveau universitaire (cf. diplôme [...] produit devant le SEM ; procès-verbal de l'audition du 26 juillet 2018, point 1.17.04, p. 4), a déjà exercé par le passé une activité professionnelle indépendante dans son pays d'origine et a précisé qu'il y avait une très bonne situation financière (cf. procès-verbal de l'audition du 20 août 2018, Q. 35 à 39, p. 5). Il y dispose en outre d'un important réseau familial, composé notamment de (...), de la part desquels il pourra, le cas échéant, solliciter un soutien lors de son retour (cf. ibidem, Q. 7 à 25, p. 4). Enfin, il n'a pas allégué ni a fortiori établi souffrir de graves problèmes de santé pour lesquels il ne pourrait pas être soigné dans son pays (cf. ATAF 2011/50 consid. 8.3 et ATAF 2009/2 consid. 9.3.2 ; Jurisprudences et informations de la Commission suisse de recours en matière d'asile [ci-après : JICRA] 2005 no 24 consid. 10.1 et JICRA 2003 no 24 consid. 5b), soit autant de facteurs qui devraient lui permettre de se réinstaller sans rencontrer d'excessives difficultés.</w:t>
      </w:r>
    </w:p>
    <w:p>
      <w:r>
        <w:rPr>
          <w:b/>
        </w:rPr>
        <w:t>E. 9.6</w:t>
      </w:r>
    </w:p>
    <w:p>
      <w:r>
        <w:t>Il résulte de ce qui précède que l'exécution du renvoi est raisonnablement exigible au sens de l'art. 83 al. 4 LEI.</w:t>
      </w:r>
    </w:p>
    <w:p>
      <w:r>
        <w:rPr>
          <w:b/>
        </w:rPr>
        <w:t>E. 10.1</w:t>
      </w:r>
    </w:p>
    <w:p>
      <w:r>
        <w:t>L'exécution du renvoi n'est pas possible lorsque l'étranger ne peut pas quitter la Suisse pour son Etat d'origine, son Etat de provenance ou un Etat tiers, ni être renvoyé dans l'un de ces Etats (art. 83 al. 2 LEI).</w:t>
      </w:r>
    </w:p>
    <w:p>
      <w:r>
        <w:rPr>
          <w:b/>
        </w:rPr>
        <w:t>E. 10.2</w:t>
      </w:r>
    </w:p>
    <w:p>
      <w:r>
        <w:t>En l'espèce, le recourant a versé au dossier SEM des copies de plusieurs documents iraniens propres à établir son identité ainsi que l'original de sa carte melli. En outre, il est tenu d'entreprendre, en collaboration avec les autorités d'exécution du renvoi, toute démarche nécessaire en vue de l'obtention de documents de voyage lui permettant de retourner dans son pays (art. 8 al. 4 LAsi).</w:t>
      </w:r>
    </w:p>
    <w:p>
      <w:r>
        <w:rPr>
          <w:b/>
        </w:rPr>
        <w:t>E. 10.3</w:t>
      </w:r>
    </w:p>
    <w:p>
      <w:r>
        <w:t>Ainsi, l'exécution du renvoi ne se heurte pas in casu à des obstacles insurmontables d'ordre technique et s'avère par conséquent également possible au sens de l'art. 83 al. 2 LEI (cf. ATAF 2008/34 consid. 12 et jurisp. cit.).</w:t>
      </w:r>
    </w:p>
    <w:p>
      <w:r>
        <w:rPr>
          <w:b/>
        </w:rPr>
        <w:t>E. 11</w:t>
      </w:r>
    </w:p>
    <w:p>
      <w:r>
        <w:t>Il s'ensuit que le recours, en tant qu'il porte sur l'exécution du renvoi, doit être rejeté et le dispositif de la décision entreprise également confirmé sur ce point.</w:t>
      </w:r>
    </w:p>
    <w:p>
      <w:r>
        <w:rPr>
          <w:b/>
        </w:rPr>
        <w:t>E. 12</w:t>
      </w:r>
    </w:p>
    <w:p>
      <w:r>
        <w:t>Il peut en l'espèce être renoncé à un échange d'écritures (art. 111a al. 1 LAsi).</w:t>
      </w:r>
    </w:p>
    <w:p>
      <w:r>
        <w:rPr>
          <w:b/>
        </w:rPr>
        <w:t>E. 13</w:t>
      </w:r>
    </w:p>
    <w:p>
      <w:r>
        <w:t>Vu l'issue de la cause, il y aurait lieu de mettre les frais de procédure à la charge du recourant, conformément aux art. 63 al. 1 PA et aux art. 2 et 3 let. b du règlement du 21 février 2008 concernant les frais, dépens et indemnités fixés par le Tribunal administratif fédéral (FITAF, RS 173.320.2). Toutefois, sa demande d'assistance judiciaire partielle ayant été admise par ordonnance du 24 octobre 2018, il sera statué sans frais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