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D-5902/2009 vom 13. Dezember 2011</w:t>
      </w:r>
    </w:p>
    <w:p>
      <w:r>
        <w:t>Bundesverwaltungsgericht, 2011-12-13, DE</w:t>
      </w:r>
    </w:p>
    <w:p>
      <w:r>
        <w:rPr>
          <w:b/>
        </w:rPr>
        <w:t xml:space="preserve">Quelle: </w:t>
      </w:r>
      <w:r>
        <w:t>https://mcp.opencaselaw.ch/entscheid/bvger_D-5902_2009</w:t>
      </w:r>
    </w:p>
    <w:p>
      <w:r>
        <w:t>FR: TAF D-5902/2009 du 13 décembre 2011</w:t>
      </w:r>
    </w:p>
    <w:p>
      <w:r>
        <w:t>IT: TAF D-5902/2009 del 13 dicembre 2011</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Schweizerischen Asylrekurskommission [EMARK] 2004 Nr. 1 E. 5 S. 4 ff.).</w:t>
      </w:r>
    </w:p>
    <w:p>
      <w:r>
        <w:rPr>
          <w:b/>
        </w:rPr>
        <w:t>E. 4.1</w:t>
      </w:r>
    </w:p>
    <w:p>
      <w:r>
        <w:t>Das BFM erachtete die geltend gemachten Ausreisegründe des Beschwerdeführers aufgrund erheblicher Unstimmigkeiten als den Anforderungen an die Glaubhaftigkeit gemäss Art. 7 nicht genügend. Dieser Einschätzung ist beizupflichten. Eine Überprüfung der Akten ergibt, dass die Vorbringen des Beschwerdeführers kein stimmiges Bild vermitteln; sie weisen gewichtige Widersprüche und Ungereimtheiten auf und das BFM hat sie aus zutreffenden Gründen als den Anforderungen an die Glaubhaftigkeit nicht genügend qualifiziert. Wäre der Beschwerdeführer tatsächlich aufgrund des Verkaufs einer (...) an die Täter eines Anschlags auf den Flughafen in Colombo im Juni/Juli 2005 vom CID gesucht worden, wäre schlicht nicht nachvollziehbar, weshalb er lediglich zwei Mal polizeilich befragt und überdies nach dem ersten Verhör im September 2005 ohne Auflagen - die Meldepflicht sei ihm erst nach der zweiten Befragung im Jahr 2007 auferlegt worden - wieder entlassen worden sei, währenddessen sein Geschäftspartner und selbst die Angestellten diesbezüglich über ein Jahr lang inhaftiert gewesen seien. Die Angabe in der Beschwerdeeingabe vom 16. September 2009, er habe einfach Glück gehabt, am Tag, als der Laden durchsucht und der Geschäftspartner und die Angestellten verhaftet worden seien, nicht anwesend gewesen zu sein, vermag nicht zu erklären, weshalb er nicht in einem späteren Zeitpunkt - beispielsweise bei dem Verhör im September 2005 - auch noch festgenommen worden ist. Wenn er tatsächlich verdächtigt worden wäre, bei dem betreffenden Anschlag involviert gewesen zu sein, wäre er im Jahr 2005 wohl kaum nur ein einziges Mal befragt und bis zum zweiten Verhör im Jahr 2007 nicht mehr belangt worden; dies erscheint völlig realitätsfremd. Für die angeblich bis zu seiner Ausreise im Mai 2009 bestehende Suche nach ihm vermochte der Beschwerdeführer keinen plausiblen Grund zu nennen. Vielmehr äusserte er sich auch diesbezüglich widersprüchlich. So gab er als Grund für die Suche an, man habe von ihm wissen wollen, wohin sich sein Geschäftspartner abgesetzt habe (vgl. C2 S. 5); indes erfolgte die Flucht des Geschäftspartners nach D._______ laut dem Beschwerdeführer erst im Dezember 2008 (vgl. C10 S. 14 F101) und kann somit nicht der Anlass für die mehrmonatige Suche nach dem Beschwerdeführer im Jahr 2007 gewesen sein. Auch hinsichtlich der Ereignisse, welche die Flucht des Geschäftspartners ausgelöst hätten (Ermordung der Angestellten), äusserte sich der Beschwerdeführer widersprüchlich, indem er erst angab, die Angestellten seien im Jahr 2007 getötet worden (vgl. C2 S. 5), später jedoch ausführte, diese seien erst im März und Juli 2008 umgebracht worden (vgl. C10 S. 13 F91 und S. 14 F100). Ein Grund, weshalb CID-Beamte den Beschwerdeführer weiterhin gesucht hätten, ist denn auch nicht ersichtlich. Wäre er tatsächlich weiterhin gesucht worden, hätten ihm die Behörden die Schlüssel zu seinem (Laden) im Jahr 2007 wohl kaum wieder ausgehändigt. Im Übrigen vermag die Erklärung des Beschwerdeführers in der Beschwerdeeingabe vom 16. September 2009, weshalb er denn nicht einfach bei der regelmässig ausgeübten Meldepflicht vom CID angehalten worden sei, nicht zu überzeugen. Es kann nicht geglaubt werden, dass die örtliche Polizeistelle in B._______ nicht eng mit dem CID zusammengearbeitet habe. Gemäss den Angaben des Beschwerdeführers seien die Durchsuchung des Ladens und die Verhaftung des Geschäftspartners und der Angestellten durch CID-Beamte durchgeführt worden und es wäre somit davon auszugehen, dass auch die Befragungen des Beschwerdeführers und allfällig verhängte Sicherungsmassnahmen wie die Meldepflicht auf Anordnung des CID erfolgt wären. Das CID hätte ihm also durchaus habhaft werden können, wenn er tatsächlich gesucht worden wäre. Die in der Beschwerdeeingabe vom 16. September 2009 vorgebrachte Relativierung hinsichtlich der Urheberschaft der Suchaktionen, wonach es sich nur um eine Vermutung handle, dass es sich bei den Leuten in dem weissen Van um CID-Beamte gehandelt habe, vermag nicht zu überzeugen, zumal die Ehefrau des Beschwerdeführers jeweils mit den Betreffenden gesprochen habe und sie ihrem Ehemann somit mitgeteilt haben dürfte, um wen es sich dabei gehandelt habe. Hinsichtlich der Vorbringen im Zusammenhang mit der Demonstration vom 18. Mai 2009, bei welcher der Beschwerdeführer verletzt worden sei, hat das BFM schliesslich zutreffend festgestellt, dass diese die Flüchtlingseigenschaft im Sinne von Art. 3 AsylG nicht zu begründen vermögen.</w:t>
      </w:r>
    </w:p>
    <w:p>
      <w:r>
        <w:rPr>
          <w:b/>
        </w:rPr>
        <w:t>E. 4.2</w:t>
      </w:r>
    </w:p>
    <w:p>
      <w:r>
        <w:t>Dem Beschwerdeführer ist es aufgrund des Gesagten nicht gelungen, die Flüchtlingseigenschaft gemäss Art. 3 AsylG nachzuweisen oder zumindest glaubhaft zu machen, weshalb das Bundesamt das Asylgesuch zu Recht abgelehnt hat.</w:t>
      </w:r>
    </w:p>
    <w:p>
      <w:r>
        <w:rPr>
          <w:b/>
        </w:rPr>
        <w:t>E. 5</w:t>
      </w:r>
    </w:p>
    <w:p>
      <w:r>
        <w:t>Lehnt das Bundesamt das Asylgesuch ab oder tritt es darauf nicht ein, so verfügt es in der Regel die Wegweisung aus der Schweiz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Das Bundesverwaltungsgericht nahm im Urteil BVGE 2008/2 zur Frage der Zumutbarkeit des Wegweisungsvollzugs nach Sri Lanka eine Lageanalyse vor. Gemäss der damals festgelegten Praxis war bei abgewiesenen Asylsuchenden tamilischer Ethnie, die aus dem Grossraum Colombo oder dessen Umgebung stammen, grundsätzlich von der Zumutbarkeit des Wegweisungsvollzugs in diese Gebiete auszugehen (vgl. BVGE 2008/2 E. 7.6.1 S. 20). In die Nord- und Ostprovinzen war der Wegweisungsvollzug hingegen unzumutbar (vgl. BVGE 2008/2 E. 7.6.2 S. 21).</w:t>
      </w:r>
    </w:p>
    <w:p>
      <w:r>
        <w:rPr>
          <w:b/>
        </w:rPr>
        <w:t>E. 6.2.2</w:t>
      </w:r>
    </w:p>
    <w:p>
      <w:r>
        <w:t>Im zur Publikation vorgesehenen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13.2.2.3. und 13.3.).</w:t>
      </w:r>
    </w:p>
    <w:p>
      <w:r>
        <w:rPr>
          <w:b/>
        </w:rPr>
        <w:t>E. 6.2.3</w:t>
      </w:r>
    </w:p>
    <w:p>
      <w:r>
        <w:t>Der soweit aktenkundig gesunde Beschwerdeführer stammt aus B._______ in der Westprovinz, nahe der Hauptstadt Colombo, wohin der Wegweisungsvollzug gemäss den Ausführungen in E. 6.2.2. grundsätzlich zumutbar ist. Der Beschwerdeführer war - abgesehen von zwei Unterbrüchen in den Jahren (...) (Schulbesuch in H._______) und (...) (Auslandsaufenthalt) - immer in B._______ wohnhaft und ist somit mit den örtlichen Gegebenheiten bestens vertraut. Mit seinen in B._______ lebenden (Aufzählung Angehörige) verfügt er über ein enges Beziehungsnetz im Heimatstaat. Nach seiner Rückschaffung nach Sri Lanka im (...) 1997 war der Beschwerdeführer in der Lage, sich in B._______ eine wirtschaftliche Existenz aufzubauen, indem er in einem (Laden), dessen Teilhaber er im Jahr 2004 wurde, und im (Laden) seines Vaters arbeitete. Zusammen mit der in der Schweiz gesammelten Arbeitserfahrung im (...) verfügt der Beschwerdeführer über gute Voraussetzungen, um im Heimatland wieder beruflich Fuss zu fassen. Es ist somit insgesamt nicht davon auszugehen, der Beschwerdeführer würde bei einer Rückkehr nach Sri Lanka aus individuellen Gründen wirtschaftlicher, sozialer oder gesundheitlicher Natur in eine seine Existenz vernichtende Situation geraten, die als konkrete Gefährdung im Sinne der zu beachtenden Bestimmungen zu werten wäre (Art. 83 Abs. 4 AuG).</w:t>
      </w:r>
    </w:p>
    <w:p>
      <w:r>
        <w:rPr>
          <w:b/>
        </w:rPr>
        <w:t>E. 6.2.4</w:t>
      </w:r>
    </w:p>
    <w:p>
      <w:r>
        <w:t>Der Vollzug der Wegweisung erweist sich daher in genereller und individueller Hinsicht als zumutbar.</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und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dessen Kosten dem Beschwerdeführer aufzuerlegen (Art. 63 Abs. 1 und 5 VwVG). Sie sind auf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