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D-5897/2008 vom 3. September 2009</w:t>
      </w:r>
    </w:p>
    <w:p>
      <w:r>
        <w:t>Bundesverwaltungsgericht, 2009-09-03, DE</w:t>
      </w:r>
    </w:p>
    <w:p>
      <w:r>
        <w:rPr>
          <w:b/>
        </w:rPr>
        <w:t xml:space="preserve">Quelle: </w:t>
      </w:r>
      <w:r>
        <w:t>https://mcp.opencaselaw.ch/entscheid/bvger_D-5897_2008</w:t>
      </w:r>
    </w:p>
    <w:p>
      <w:r>
        <w:t>FR: TAF D-5897/2008 du 3 septembre 2009</w:t>
      </w:r>
    </w:p>
    <w:p>
      <w:r>
        <w:t>IT: TAF D-5897/2008 del 3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4.1</w:t>
      </w:r>
    </w:p>
    <w:p>
      <w:r>
        <w:t>Die Vorinstanz hat in der angefochtenen Verfügung unter Angabe der jeweiligen Fundstellen im Protokoll der Bundesanhörung ausführlich die diversen Unglaubhaftigkeitselemente in den Aussagen des Beschwerdeführers dargelegt und vor diesem Hintergrund festgestellt, dessen Vorbringen genügten den Anforderungen gemäss Art. 7 AsylG nicht. Für das Bundesverwaltungsgericht besteht nach Überprüfung der Akten keine Veranlassung, die Erwägungen des BFM zu beanstanden. Um Wiederholungen zu vermeiden, kann daher auf die diesbezüglich zutreffenden vorinstanzlichen Ausführungen in der angefochtenen Verfügung verwiesen werden.</w:t>
      </w:r>
    </w:p>
    <w:p>
      <w:r>
        <w:rPr>
          <w:b/>
        </w:rPr>
        <w:t>E. 4.2</w:t>
      </w:r>
    </w:p>
    <w:p>
      <w:r>
        <w:t>Die Vorbringen in der Rechtsmitteleingabe sind nicht geeignet, eine Änderung der vorinstanzlichen Verfügung im Flüchtlings- und Asylpunkt zu bewirken. Der Argumentation des BFM werden keine stichhaltigen Gründe entgegen gesetzt. Eine Auseinandersetzung mit den dem Beschwerdeführer vorgeworfenen Unglaubhaftigkeitselementen unterbleibt zwar nicht grundsätzlich, die Einwände des Beschwerdeführers vermögen jedoch nicht zu überzeugen. Entscheidwesentlich ist, dass der Beschwerdeführer auf eigenen Antrag hin im Februar 2006 ein Reisepass von den durch die Hamas kontrollierten Behörden hat ausstellen lassen. Zudem lässt die Erklärung des Beschwerdeführers, er gehe nach Gaza, wenn er seine Kinder mitnehmen könne, den Schluss zu, dass er die Auffassung der Vorinstanz teilt, dort keinerlei Verfolgung zu befürchten. Die behaupteten massiven Bedrohungen durch die Hamas erscheinen vor diesem Hintergrund als widersprüchlich zur geäusserten Rückkehrabsicht. Selbst bei Wahrunterstellung der vorgebrachten Bedrohung durch die Hamas kann davon ausgegangen werden, dass der Beschwerdeführer alle Hebel in Gang gesetzt hätte, um den Gazastreifen so schnell wie möglich zu verlassen, um sich und seine Familie in Sicherheit zu bringen. Ein weiterer Verbleib in dieser Region, in welcher er angeblich verfolgt und massiv bedroht wurde, widerspricht der allgemeinen Logik des Handelns, ist realitätsfremd und deshalb unglaubhaft. Der Vorwurf des Beschwerdeführers in seiner Replik vom 26. Juni 2009, die Vorinstanz äussere sich nicht detailliert zur Flüchtlingseigenschaft und zum Asyl, stösst ins Leere und wird von diesem auch nicht weiter begründet. Die Vorinstanz hat in der angefochtenen Verfügung vom 13. August 2008 logisch nachvollziehbar, schlüssig und detailliert vorgebracht, weshalb der Beschwerdeführer die Flüchtlingseigenschaft nicht erfülle und deshalb das Asylgesuch anzulehnen sei. Aber auch der Umstand, dass seiner Ehefrau und seinen Kindern, nachdem gestützt auf den Beschluss der ARK vom 20. Februar 2006 das Beschwerdeverfahren des Beschwerdeführers von demjenigen seiner Ehefrau und der vier Kinder getrennt wurde, die Flüchtlingseigenschaft nicht zuerkannt wurde und ihr Asylgesuch abgelehnt worden ist, spricht gegen die geltend gemachte Verfolgung des Beschwerdeführers.</w:t>
      </w:r>
    </w:p>
    <w:p>
      <w:r>
        <w:rPr>
          <w:b/>
        </w:rPr>
        <w:t>E. 4.3</w:t>
      </w:r>
    </w:p>
    <w:p>
      <w:r>
        <w:t>Nach Würdigung der Akten kommt das Bundesverwaltungsgericht zum Schluss, dass die Erwägungen der Vorinstanz zur fehlenden Glaubhaftigkeit der Vorbringen des Beschwerdeführers zutreffen und die Ausführungen in der Beschwerdeschrift nicht geeignet sind, die vorinstanzliche Begründung zu Art. 7 AsylG in einem anderen Licht erscheinen zu lassen. So zeigte die Vorinstanz im angefochtenen Entscheid die Gründe, weshalb aufgrund der Aktenlage die Vorbringen des Beschwerdeführers als logisch nicht nachvollziehbar und realitätsfremd und somit als unglaubhaft zu erachten sind, in schlüssiger Weise auf.</w:t>
      </w:r>
    </w:p>
    <w:p>
      <w:r>
        <w:rPr>
          <w:b/>
        </w:rPr>
        <w:t>E. 4.4</w:t>
      </w:r>
    </w:p>
    <w:p>
      <w:r>
        <w:t>Zusammenfassend ist festzustellen, dass der Beschwerdeführer keine Verfolgung im Sinne von Art. 3 AsylG glaubhaft machen und nicht als Flüchtling anerkannt werden kann. Mangels erfüllter Flüchtlingseigenschaft ist ihm zu Recht das nachgesuchte Asyl nicht gewährt worden, weshalb es sich erübrigt, auf die weiteren Vorbringen in der Rechtsmitteleingabe näher einzugehen.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 Herkunftsland ist demnach unter dem Aspekt von Art. 5 AsylG rechtmässig. Sodann ergeben sich weder aus den Aussagen des Beschwerdeführers noch aus den Akten Anhaltspunkte dafür, dass er für den Fall einer Ausschaffung in sein Herkunftsland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124-127.). Auch die allgemeine Menschenrechtssituation in seinem Herkunftsland lässt den Wegweisungsvollzug zum heutigen Zeitpunkt klarerweise nicht als unzulässig erscheinen.</w:t>
      </w:r>
    </w:p>
    <w:p>
      <w:r>
        <w:rPr>
          <w:b/>
        </w:rPr>
        <w:t>E. 6.4</w:t>
      </w:r>
    </w:p>
    <w:p>
      <w:r>
        <w:t>Art. 8 Ziff. 1 EMRK und der inhaltlich gleichwertige Art. 13 Abs. 1 BV garantieren den Schutz des Privat- und Familienlebens. Darauf kann sich im Zusammenhang mit einer fremdenpolizeilichen Bewilligung berufen, wer nahe Verwandte (Ehegatte, minderjährige Kinder) mit einem gefestigten Anwesenheitsrecht (Schweizer Bürgerrecht, Niederlassungsbewilligung, Anspruch auf Verlängerung der befristeten Aufenthaltsbewilligung) oder selbst ein solches Anwesenheitsrecht in der Schweiz hat, sofern die familiäre Beziehung tatsächlich gelebt wird und intakt ist (vgl. BGE 130 II 281 E. 3.1). Art. 8 Ziff. 1 EMRK und Art. 13 Abs. 1 BV verschaffen jedoch keine über Art. 43 Abs. 1 AuG hinausgehenden Ansprüche. Da weder der Beschwerdeführer noch seine in der Schweiz lebenden Familienangehörigen über ein gefestigtes Anwesenheitsrecht in der Schweiz verfügen, ist Art. 8 EMRK in casu nicht verletzt.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Der Untersuchungsgrundsatz gehört zu den allgemeinen Grundsätzen des Asylverfahrens (Art. 12 VwVG). Er bedeutet, dass die Behörde gehalten ist, von Amtes wegen für die richtige und vollständige Abklärung des rechtserheblichen Sachverhaltes zu sorgen.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(Alfred Kölz/Isabelle Häner, Verwaltungsverfahren und Verwaltungsrechtspflege des Bundes, 2. Aufl., Zürich 1998, Rz 630 ff.). Gemäss Art. 49 Bst. b VwVG bildet denn auch die unrichtige oder unvollständige Feststellung des Sachverhalts neben Verletzung von Bundesrecht einschliesslich Überschreitung oder Missbrauchs des Ermessen (Art. 49 Bst. a VwVG) und der Unangemessenheit (Art. 49 Bst. c VwVG) einen Beschwerdegrund. Die Pflicht der Behörden zur vollständigen und richtigen Abklärung des rechtserheblichen Sachverhalts ist unabdingbar (Art. 12 VwVG; vgl. auch Art. 49 Bst. b VwVG; für das Asylverfahren ausserdem Art. 6 AsylG).</w:t>
      </w:r>
    </w:p>
    <w:p>
      <w:r>
        <w:rPr>
          <w:b/>
        </w:rPr>
        <w:t>E. 6.7</w:t>
      </w:r>
    </w:p>
    <w:p>
      <w:r>
        <w:t>Die asylrechtliche Beschwerde ist vom Grundsatz her reformatorisch ausgestaltet. Die Kassation eines materiellen Entscheides der Vorinstanz kommt nur ausnahmsweise in Frage, etwa wenn der Sachverhalt als ungenügend erstellt zu erachten ist (Art. 61 Abs. 1 VwVG; vergleiche Alfred Kölz/Isabelle Häner, a.a.O., Rz 694). Ob die in diesen Fällen fehlende Entscheidungsreife durch die Vorinstanz oder durch die Rechtsmittelinstanz herzustellen sei, ist bei reformatorischen Rechtsmitteln eine Frage der Abwägung nach Gesichtspunkten der Prozessökonomie (vergleiche F. Gygi, Bundesverwaltungsrechtspflege, 2. Aufl., Bern 1983, S. 232 f.).</w:t>
      </w:r>
    </w:p>
    <w:p>
      <w:r>
        <w:rPr>
          <w:b/>
        </w:rPr>
        <w:t>E. 6.8</w:t>
      </w:r>
    </w:p>
    <w:p>
      <w:r>
        <w:t>Mit Urteil vom 11. September 2008 qualifizierte das Bundesverwaltungsgericht den Vollzug der Wegweisung in den Gazastreifen als grundsätzlich zulässig, zumutbar und möglich (vgl. Entscheide des Schweizerischen Bundesverwaltungsgericht [BVGE] 2008/34). An dieser Einschätzung hat sich seit der Militäroperation "Gegossenes Blei" von Dezember 2008 bis Januar 2009 der israelischen Armee einiges grundlegend geändert und es drängt sich offensichtlich eine neue Lageanalyse auf. Die knapp gehaltenen Ausführungen der Vorinstanz in ihrer Vernehmlassung vom 2. Juni 2009 zum Vollzug der Wegweisung in den Gazastreifen vermögen eine Lageanalyse nicht zu ersetzen. Es stellt sich die Frage, welche Instanz eine aktuelle Lageanalyse vorzunehmen hat.</w:t>
      </w:r>
    </w:p>
    <w:p>
      <w:r>
        <w:rPr>
          <w:b/>
        </w:rPr>
        <w:t>E. 6.9</w:t>
      </w:r>
    </w:p>
    <w:p>
      <w:r>
        <w:t>Die Tatsache, dass die Veränderung der Sachlage nach der militärischen Intervention der israelischen Armee bei der Operation "Gegossenes Blei" von Dezember 2008 bis Januar 2009 im Gazastreifen während des Beschwerdeverfahrens eingetreten ist, würde grundsätzlich für die Zuführung zur Entscheidreife durch die Beschwerdeinstanz sprechen. Auf der anderen Seite ergeben sich generelle Fragen zur Falleinschätzung in vergleichbaren Konstellationen, welche im Sinne einer Neuformulierung eine Praxisanpassung durch die erste Instanz und mithin das BFM nahelegen. So ist auch gewährleistet, dass der Beschwerdeführer im vorliegenden Verfahren, aber auch Beschwerdeführer in zukünftigen und analogen Fällen Gelegenheit haben, zur Praxisanpassung im Verfahren vor dem BFM Stellung zu nehmen und nicht einer Instanz verlustig gehen. Im vorliegenden Fall stellen sich gerade hinsichtlich der allgemeinen, politischen und sozialen Lage im Gaza-Streifen Sachfragen, die in den relevanten Herkunftsgebieten zu klären sein werden, was idealerweise durch die Vorinstanz zu veranlassen ist, die Kontakte vor Ort herstellen kann. Auch ziehen solche Abklärungen eine aufwändige Beweiserhebung nach sich, weshalb sich insgesamt aus prozessökonomischen Gründen eine Rückweisung an die Vorinstanz aufdrängt (vgl. ANDRÉ MOSER/MICHAEL BEUSCH/LORENZ KNEUBÜHLER, Prozessieren vor dem Bundesverwaltungsgericht, Basel 2008, S. 180 Rz. 3.194).</w:t>
      </w:r>
    </w:p>
    <w:p>
      <w:r>
        <w:rPr>
          <w:b/>
        </w:rPr>
        <w:t>E. 6.10</w:t>
      </w:r>
    </w:p>
    <w:p>
      <w:r>
        <w:t>Nach dem Gesagten ist ein reformatorischer Entscheid durch das Bundesverwaltungsgericht nicht angezeigt, da der Sachverhalt im Zusammenhang mit dem Vollzug der Wegweisung aktuell nicht als zur Genüge erstellt erachtet werden kann. Es erscheint sachgerecht, das Verfahren an die Vorinstanz zurückzuweisen, damit diese die nötigen Abklärungen vornimmt und diese im Rahmen eines neuen beschwerdefähigen Entscheids einer rechtlichen Würdigung unterzieht.</w:t>
      </w:r>
    </w:p>
    <w:p>
      <w:r>
        <w:rPr>
          <w:b/>
        </w:rPr>
        <w:t>E. 7</w:t>
      </w:r>
    </w:p>
    <w:p>
      <w:r>
        <w:t>Zusammenfassend ergibt sich, dass der rechtserhebliche Sachverhalt im Zusammenhang mit dem Vollzug der Wegweisung im vorliegenden Fall unvollständig festgestellt worden ist. Angesichts dieses Umstandes ist die Beschwerde vom 5. März 2009 teilweise im Sinne der Erwägungen gutzuheissen, die angefochtene Verfügung betreffend die Dispositivziffern 4 und 5 vom 30. Januar 2009 aufzuheben und die Sache zur Neubeurteilung an das BFM zurückzuweisen. Die Vorinstanz ist im Sinne der obigen Erwägungen aufzufordern, die Durchführung einer eingehenden Lageanalyse über den Gaza-Streifen durchzuführen beziehungsweise anzuordnen und somit den diesbezüglichen rechtserheblichen Sachverhalt vollständig abzuklären.</w:t>
      </w:r>
    </w:p>
    <w:p>
      <w:r>
        <w:rPr>
          <w:b/>
        </w:rPr>
        <w:t>E. 8.1</w:t>
      </w:r>
    </w:p>
    <w:p>
      <w:r>
        <w:t>Da der Beschwerdeführer in Bezug auf den unter Ziffer 4 aufgeführten Beschwerdeantrag (siehe die Berichtigung des Beschwerdeantrags 4 in der Beschwerdeergänzung vom 20. Januar 2009) durchgedrungen ist, sind ihm reduzierte Verfahrenskosten aufzuerlegen (Art. 63 Abs. 1), welche auf insgesamt Fr. 300.- festzusetzen (Art. 1 - 3 des Reglements vom 21. Februar 2008 über die Kosten und Entschädigungen vor dem Bundesverwaltungsgericht [VGKE, SR 173.320.2]) und mit dem am 6. Oktober 2008 geleisteten Kostenvorschuss von Fr. 600.-- zu verrechnen sind. Dementsprechend sind dem Beschwerdeführer Fr. 300.-- zurückzuerstatten.</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VGKE). Obsiegt eine Partei nur teilweise, so ist die Parteientschädigung entsprechend zu kürzen.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 Grund der Akten auf Fr. 1'200.-- (inkl. Auslagen und Mehrwertsteuer) festgesetzt. Diese ist ihm durch die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