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D-5893/2020 vom 6. Januar 2022</w:t>
      </w:r>
    </w:p>
    <w:p>
      <w:r>
        <w:t>Bundesverwaltungsgericht, 2022-01-06, FR</w:t>
      </w:r>
    </w:p>
    <w:p>
      <w:r>
        <w:rPr>
          <w:b/>
        </w:rPr>
        <w:t xml:space="preserve">Quelle: </w:t>
      </w:r>
      <w:r>
        <w:t>https://mcp.opencaselaw.ch/entscheid/bvger_D-5893_2020</w:t>
      </w:r>
    </w:p>
    <w:p>
      <w:r>
        <w:t>FR: TAF D-5893/2020 du 6 janvier 2022</w:t>
      </w:r>
    </w:p>
    <w:p>
      <w:r>
        <w:t>IT: TAF D-5893/2020 del 6 gennaio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Sur le plan formel, le recourant reproche au SEM une violation de son droit d’être entendu, au motif qu’il n’aurait pas établi de manière exacte l’état de fait pertinent quant aux obstacles à l’exécution de son renvoi en</w:t>
      </w:r>
    </w:p>
    <w:p>
      <w:r>
        <w:t>D-5893/2020 Page 5 relation avec son état de santé, ainsi qu'une violation de l’obligation de motiver.</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2.2.3</w:t>
      </w:r>
    </w:p>
    <w:p>
      <w:r>
        <w:t>S’agissant de la situation médicale, le SEM a invité l’intéressé à produire un rapport médical, lequel, daté du (…) 2020, fait état de [diagnostic]. Il a pris en considération les affections en question dans sa décision, considérant toutefois que celles-ci pouvaient être traitées dans le pays d’origine de l’intéressé (cf. décision du 23 octobre 2020, consid. III, p. 7.). Ce faisant, le SEM n'a pas commis de violation du droit d'être entendu de l'intéressé, étant précisé que la question de savoir si c’est à juste titre qu’il est parvenu à cette conclusion relève du fond et doit faire l'objet d'un examen matériel (cf. consid. 4).</w:t>
      </w:r>
    </w:p>
    <w:p>
      <w:r>
        <w:rPr>
          <w:b/>
        </w:rPr>
        <w:t>E. 2.3.1</w:t>
      </w:r>
    </w:p>
    <w:p>
      <w:r>
        <w:t>L’obligation de motiver,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w:t>
      </w:r>
    </w:p>
    <w:p>
      <w:r>
        <w:t>D-5893/2020 Page 6 et jurisp. cit.). L’autorité n’a pas l'obligation d'exposer et de discuter tous les faits, moyens de preuve et griefs invoqués par les parties, mais peut se limiter à l'examen des questions décisives pour l'issue du litige.</w:t>
      </w:r>
    </w:p>
    <w:p>
      <w:r>
        <w:rPr>
          <w:b/>
        </w:rPr>
        <w:t>E. 2.3.2</w:t>
      </w:r>
    </w:p>
    <w:p>
      <w:r>
        <w:t>En l’espèce, le recourant soutient que la décision entreprise est sujette à des ambigüités qui rendent certaines de ses parties difficilement compréhensibles, et qu'elle manque de motivation sur des éléments décisifs. Il ressort toutefois de son recours qu'il reproche en réalité à l'autorité inférieure d'avoir considéré que ses motifs d'asile ne remplissaient pas les conditions de vraisemblance de l’art. 7 LAsi, alors que, de son point de vue, son récit en remplirait toutes les conditions en tenant compte du contexte culturel, social et surtout guerrier dans lequel se sont déroulés les événements allégués. Dans le cas particulier, l'intéressé se limite à prétendre, sans toutefois le démonter d'une quelconque manière, que le SEM n'aurait pas tenu compte du contexte dans lequel s'inscrivent les motifs d'asile du recourant, de sorte qu'il s'agit d'une pétition de principe qu'il y a lieu d'écarter d'emblée. Cela dit, ce n’est pas parce que le SEM n’a pas motivé dans le sens voulu par le recourant qu’il a commis une violation de son droit d’être entendu ou une violation de son obligation de motivation. Il s'agit d'une question qui relève d'un examen au fond et qui doit être examinée matériellement dans les considérants suivants.</w:t>
      </w:r>
    </w:p>
    <w:p>
      <w:r>
        <w:rPr>
          <w:b/>
        </w:rPr>
        <w:t>E. 2.4</w:t>
      </w:r>
    </w:p>
    <w:p>
      <w:r>
        <w:t>Au vu de ce qui précède, les griefs formels soulevés par l’intéressé doivent être écartés et la conclusion du recours tendant au renvoi de la cause au SEM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3.2</w:t>
      </w:r>
    </w:p>
    <w:p>
      <w:r>
        <w:t>Quiconque demande l'asile (requérant) doit prouver ou du moins rendre vraisemblable qu'il est un réfugié. La qualité de réfugié est vraisemblable lorsque l'autorité estime que celle-ci est hautement</w:t>
      </w:r>
    </w:p>
    <w:p>
      <w:r>
        <w:t>D-5893/2020 Page 7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l’intéressé soutient que les motifs de sa demande d’asile sont liés à la mort d'un général kurde du clan « miseri », lequel proviendrait d’une famille disposant de pouvoirs claniques, militaires et politiques, respectivement à son refus de donner une réponse à cette famille sur le lieu de séjour de l’assistant médical qu’elle soupçonne d’avoir tué le général. Or, force est de constater d'abord que le Tribunal n'a trouvé dans le domaine public des médias aucune trace de la mort d'un général qui serait survenue dans le contexte décrit par le recourant. A cela s'ajoute que la réticence avec laquelle il a dévoilé l’identité du général qui serait décédé ne plaide pas non plus en faveur de la vraisemblance de ses propos car le chargé d’audition l’a informé, lors de son audition du 3 septembre 2020 qu’il avait tenu compte de sa demande visant à s’assurer que l’interprète ne soit pas du clan « miseri », que, malgré cette assurance, l'intéressé a sans aucune raison sollicité que l’identité du général ne soit pas transcrite dans le procès-verbal, puis s’est ensuite entretenu avec son mandataire avant de finalement, et à bout d'arguments, fournir une identité qu'aucune source n'a permis de confirmer (cf. procès-verbal d’audition [pv.] du 3 septembre 2020, réponses aux questions 54 et 84 à 90, p. 8 et 16 s.). L'explication selon laquelle il n'aurait pas non plus fait mention de ses craintes liées au décès d'un général lors de sa procédure d’asile en Allemagne paraît avancée pour les besoins de la cause, ce pays offrant des garanties de procédure identiques à celles en vigueur en Suisse. Ensuite, le recourant n'a, de son côté, fourni aucun commencement de preuve ni document directement ou indirectement lié à un tel décès. En particulier, rien ne vient étayer l'affirmation selon laquelle il aurait transporté dans son ambulance un général gravement blessé à l’hôpital de D._______, ni la thèse d'un décès de cette personne que ce soit durant le trajet ou après sa réception à l'hôpital. Il aurait pourtant été en mesure d'établir son implication dans le transport du général en question puisqu'il aurait reçu l'ordre de son supérieur de se rendre immédiatement à D._______ en raison de la gravité des blessures de la victime. Il aurait également pu établir son décès puisque cet événement aurait été constaté par un institut de médecine légale. Il aurait enfin aussi été en mesure</w:t>
      </w:r>
    </w:p>
    <w:p>
      <w:r>
        <w:t>D-5893/2020 Page 8 d'établir les tractations postérieures qui seraient survenues entre son frère et la famille du général. Or, tel n'est pas le cas. Le seul moyen produit à titre de preuve est une attestation de son employeur qui mentionne que l’intéressé aurait mis fin à ses rapports de travail en raison de la survenance de problèmes psychiques, sur conseil d’un médecin, ce qui n’est pas en adéquation avec ses déclarations. L'affirmation selon laquelle son employeur aurait refusé d’attester que l’intéressé se sentait en danger parce qu’il avait peur de le faire n’emporte pas conviction, non seulement parce qu'un certificat de travail est un document confidentiel (cf. pv. du 3 septembre 2020, réponse à la question 63, p 14), mais également compte tenu de l'absence totale de preuve des événements à l'origine du départ du recourant de son pays. Enfin, l’intéressé s’est contredit sur un élément essentiel de ses motifs d’asile, à savoir le moment où il aurait appris le décès du général. Selon une première version, il aurait lui-même annoncé sa mort à l’arrivée à l’hôpital et, selon une autre version, il n’aurait été informé du décès en question qu’aux urgences soit après son arrivée. Auditionné sur cette contradiction, il n’a pas pu donner d’explication convaincante (cf. pv. du 3 septembre 2020, réponse à la question 94, p. 17).</w:t>
      </w:r>
    </w:p>
    <w:p>
      <w:r>
        <w:rPr>
          <w:b/>
        </w:rPr>
        <w:t>E. 4.2</w:t>
      </w:r>
    </w:p>
    <w:p>
      <w:r>
        <w:t>Au vu de ce qui précède, les éléments plaidant pour l’absence de vraisemblance des faits allégués l’emportent clairement sur ceux qui parlent en faveur de leur vraisemblance, de sorte que les motifs d’asile de l’intéressé ne remplissent pas les exigences de haute probabilité posées par l’art. 7 LAsi.</w:t>
      </w:r>
    </w:p>
    <w:p>
      <w:r>
        <w:rPr>
          <w:b/>
        </w:rPr>
        <w:t>E. 5</w:t>
      </w:r>
    </w:p>
    <w:p>
      <w:r>
        <w:t>Il s'ensuit que le recours, en matière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(RS 142.312), n'étant en l'occurrence réalisée, le Tribunal est tenu, de par la loi, de confirmer cette mesure.</w:t>
      </w:r>
    </w:p>
    <w:p>
      <w:r>
        <w:rPr>
          <w:b/>
        </w:rPr>
        <w:t>E. 7</w:t>
      </w:r>
    </w:p>
    <w:p>
      <w:r>
        <w:t>Aux termes de l'art. 83 al. 1 LEI – auquel renvoie l'art. 44 2ème phr. LAsi –</w:t>
      </w:r>
    </w:p>
    <w:p>
      <w:r>
        <w:t>D-5893/2020 Page 9 le SEM admet provisoirement l'étranger si l'exécution du renvoi n'est pas possible, n'est pas licite ou ne peut être raisonnablement exigée. A contrario, l'exécution du renvoi est ordonnée lorsqu'elle est licite, raisonnablement exigible et possible.</w:t>
      </w:r>
    </w:p>
    <w:p>
      <w:r>
        <w:rPr>
          <w:b/>
        </w:rPr>
        <w:t>E. 7.3</w:t>
      </w:r>
    </w:p>
    <w:p>
      <w:r>
        <w:t>à 7.10; 2011/50 consid. 8.3).</w:t>
      </w:r>
    </w:p>
    <w:p>
      <w:r>
        <w:rPr>
          <w:b/>
        </w:rPr>
        <w:t>E. 8.1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8.2</w:t>
      </w:r>
    </w:p>
    <w:p>
      <w:r>
        <w:t>En l’espèce, l'exécution du renvoi ne contrevient pas au principe de non-refoulement de l'art. 5 LAsi, l’intéressé n'ayant pas rendu vraisemblable qu’il serait, en cas de retour dans son pays, exposé à de sérieux préjudices au sens de l'art. 3 LAsi (cf. consid.4). Il n’a pas non plus rendu crédible l'existence d'un véritable risque concret et sérieux d'être victime, en cas de retour en Irak, de traitements inhumains ou dégradants (cf. art. 3 CEDH et art. 3 de la convention du 10 décembre 1984 contre la torture et autres peines ou traitements cruels, inhumains ou dégradants [Conv. torture, RS 0.105]).</w:t>
      </w:r>
    </w:p>
    <w:p>
      <w:r>
        <w:rPr>
          <w:b/>
        </w:rPr>
        <w:t>E. 8.3</w:t>
      </w:r>
    </w:p>
    <w:p>
      <w:r>
        <w:t>Ainsi,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En l’occurrence, les provinces de Dohuk, Erbil, Suleimaniya et Halabja ne sont pas en proie à des violences généralisées et ne connaissent pas une situation politique tendue au point qu’elle rendrait, de manière générale, inexigible l’exécution du renvoi (cf. ATAF 2008/5 consid. 7.5, en particulier 7.5.8, confirmé par arrêts D- 636/2021 du 24 février 2021 consid. 9.3.1 s., D-2775/2020 du 8 juillet 2020 consid. 8.3.2 s. et E-3737/2015 du</w:t>
      </w:r>
    </w:p>
    <w:p>
      <w:r>
        <w:rPr>
          <w:b/>
        </w:rPr>
        <w:t>E. 9.3</w:t>
      </w:r>
    </w:p>
    <w:p>
      <w:r>
        <w:t>En l’espèce, il ne ressort du dossier aucun élément dont on pourrait inférer que l’exécution du renvoi du recourant au Kurdistan irakien impliquerait une mise en danger concrète de celui-ci. En effet, il est jeune, d’ethnie kurde et provient de la province de D._______. Par ailleurs, il est au bénéfice d’une bonne scolarité (douze ans d’études) et d’une expérience professionnelle en tant que [profession]. Il possède également un important réseau familial sur place, soit autant de facteurs devant lui permettre de se réinsérer dans le Kurdistan irakien, même si des difficultés d’adaptation initiales ne peuvent être exclues, compte tenu du temps écoulé depuis son départ.</w:t>
      </w:r>
    </w:p>
    <w:p>
      <w:r>
        <w:rPr>
          <w:b/>
        </w:rPr>
        <w:t>E. 9.4.1</w:t>
      </w:r>
    </w:p>
    <w:p>
      <w:r>
        <w:t>S’agissant des personnes en traitement médical en Suisse, l’exécution de leur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w:t>
      </w:r>
    </w:p>
    <w:p>
      <w:r>
        <w:rPr>
          <w:b/>
        </w:rPr>
        <w:t>E. 9.4.2</w:t>
      </w:r>
    </w:p>
    <w:p>
      <w:r>
        <w:t>Selon le rapport du 24 septembre 2020, l’intéressé présente des [diagnostic]. Le traitement prescrit est constitué par [descriptif du traitement]. Même si les problèmes de santé de l’intéressé ne sauraient être minimisés, ils ne sont pas d'une gravité telle qu'ils puissent constituer un obstacle à l'exécution du renvoi au sens de la jurisprudence, ceux-ci pouvant faire l’objet d’une prise en charge adéquate dans son pays d’origine. En effet, le Nord de l’Irak dispose de structures médicales qui offrent des soins médicaux essentiels pour les troubles de cette lignée, même si elles font face à une sollicitation</w:t>
      </w:r>
    </w:p>
    <w:p>
      <w:r>
        <w:t>D-5893/2020 Page 11 accrue en raison de nombreuses années de privation (arrêts du Tribunal E-7074/18 du 23 septembre 2020, consid. 10.7, D-5300/18 du 22 avril 2020 et D-1157/19 du 6 avril 2020 consid. 7.4 et réf. cit.). A son retour, il lui reviendra d’entreprendre les démarches en vue d’accéder aux soins que requiert son état de santé, même si ceux-ci ne devaient pas être de la même qualité qu’en Suisse. En outre, en cas de besoin, il peut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Enfin, il pourra, le cas échéant, constituer une réserve de médicaments, avant son départ de Suisse et, au besoin, présenter au SEM, après la clôture de la présente procédure, une demande d'aide au retour au sens de l'art. 93 LAsi.</w:t>
      </w:r>
    </w:p>
    <w:p>
      <w:r>
        <w:rPr>
          <w:b/>
        </w:rPr>
        <w:t>E. 9.5</w:t>
      </w:r>
    </w:p>
    <w:p>
      <w:r>
        <w:t>A relever que le contexte actuel lié à la maladie à coronavirus (Covid- 19)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9.6</w:t>
      </w:r>
    </w:p>
    <w:p>
      <w:r>
        <w:t>Pour ces motifs, l’exécution du renvoi doit être considérée comme raisonnablement exigible. 10.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D-5893/2020 Page 12 11. Il s’ensuit que le recours, en tant qu’il conteste la décision de renvoi et son exécution, doit être également rejeté. 12. S'avérant manifestement infondé, il est rejeté dans une procédure à juge unique, avec l'approbation d'un second juge (cf. art. 111 let. e LAsi) et rendu sans échange d’écritures (cf. art. 111a al. 1 LAsi). 13. Vu l’issue de la cause, il y a lieu de mettre les frais de procédure à la charge du recourant (cf. art. 63 al. 1 PA et art. 2 et 3 let. a du règlement du 21 février 2008 concernant les frais, dépens et indemnités fixés par le Tribunal administratif fédéral [FITAF, RS 173.320.2]).</w:t>
      </w:r>
    </w:p>
    <w:p>
      <w:r>
        <w:t>(dispositif page suivante)</w:t>
      </w:r>
    </w:p>
    <w:p>
      <w:r>
        <w:t>D-5893/2020 Page 13</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S'avérant manifestement infondé, il est rejeté dans une procédure à juge unique, avec l'approbation d'un second juge (cf. art. 111 let. e LAsi) et rendu sans échange d'écritures (cf. art. 111a al. 1 LAsi).</w:t>
      </w:r>
    </w:p>
    <w:p>
      <w:r>
        <w:rPr>
          <w:b/>
        </w:rPr>
        <w:t>E. 13</w:t>
      </w:r>
    </w:p>
    <w:p>
      <w:r>
        <w:t>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w:t>
      </w:r>
    </w:p>
    <w:p>
      <w:r>
        <w:rPr>
          <w:b/>
        </w:rPr>
        <w:t>E. 14</w:t>
      </w:r>
    </w:p>
    <w:p>
      <w:r>
        <w:t>décembre 2015 consid. 7.4.5 [publié comme arrêt de référence]).</w:t>
      </w:r>
    </w:p>
    <w:p>
      <w:r>
        <w:t>D-5893/2020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