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D-5888/2010 vom 14. Dezember 2010</w:t>
      </w:r>
    </w:p>
    <w:p>
      <w:r>
        <w:t>Bundesverwaltungsgericht, 2010-12-14, DE</w:t>
      </w:r>
    </w:p>
    <w:p>
      <w:r>
        <w:rPr>
          <w:b/>
        </w:rPr>
        <w:t xml:space="preserve">Quelle: </w:t>
      </w:r>
      <w:r>
        <w:t>https://mcp.opencaselaw.ch/entscheid/bvger_D-5888_2010</w:t>
      </w:r>
    </w:p>
    <w:p>
      <w:r>
        <w:t>FR: TAF D-5888/2010 du 14 décembre 2010</w:t>
      </w:r>
    </w:p>
    <w:p>
      <w:r>
        <w:t>IT: TAF D-5888/2010 del 14 dicembre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2 und Art. 105 AsylG i.V.m. Art. 37 VGG und Art. 48 Abs. 1 VwVG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In einem Dublin-Entscheid werden die Entscheidungen über die Zuständigkeit und über die Überstellung verbunden (siehe Art. 19 Abs. 1 und 2 bzw. Art. 20 Abs. 1 Bst. e Dublin-II-VO). Der Rechtsbehelf kann sich damit neben der Rüge der Zuständigkeitsentscheidung auch gegen alle mit der Entscheidung verbundene Modalitäten der Über­stellung richten; er ist dem Wortlaut und der Systematik der Verordnung nach umfassend gewährleistet. Im Beschwerdeverfahren können zumindest Verletzungen objektiven Rechts gerügt werden, die auch Individualinteressen berühren bzw. in die menschenrechtlichen Positionen der Betroffenen eingreifen (vgl. Christian Filzwieser/Andrea Sprung, Dublin II-Verordnung, 3., überarb. Aufl., Wien/Graz 2010, K9 zu Art. 19, mit Verweis auf Erwägungsgrund 15 der Dublin-II-VO).</w:t>
      </w:r>
    </w:p>
    <w:p>
      <w:r>
        <w:rPr>
          <w:b/>
        </w:rPr>
        <w:t>E. 3</w:t>
      </w:r>
    </w:p>
    <w:p>
      <w:r>
        <w:t>Auf Asylgesuche wird in der Regel nicht eingetreten, wenn Asyl­suchende in einen Drittstaat ausreisen können, welcher für die Durch­führung des Asyl- und Wegweisungsverfahrens staatsvertraglich zuständig ist (Art. 34 Abs. 2 Bst. d AsylG).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hat die Prüfung der staatsvertraglichen Zuständigkeit zur Behandlung eines Asylgesuches nach den Kriterien der Dublin-II-VO zu erfolgen. Sobald ein Asylantrag erstmals in einem Mitgliedstaat gestellt wurde, wird das Verfahren zur Bestimmung des zuständigen Mitgliedstaates eingeleitet (Art. 4 Abs. 1 Dublin-II-VO). Dabei sind die Kriterien in der in Kapitel III der Dublin-II-VO genannten Rangfolge anzuwenden, und es ist von der Situation auszugehen, die zum Zeitpunkt besteht, in dem der Antragsteller erstmals seinen An­trag in einem Mitgliedstaat stellt (Art. 5 Abs. 1 und 2 Dublin-II-VO).</w:t>
      </w:r>
    </w:p>
    <w:p>
      <w:r>
        <w:rPr>
          <w:b/>
        </w:rPr>
        <w:t>E. 4.1</w:t>
      </w:r>
    </w:p>
    <w:p>
      <w:r>
        <w:t>In der Beschwerdeschrift wird zunächst festgehalten, es treffe zu, dass der Beschwerdeführer bereits volljährig sei. Er habe sein jüngeres Alter aus Angst, von der Familie getrennt behandelt zu werden, angegeben. Weiter wird eingewendet, die Familie E._______ sei gemeinsam aus Afghanistan geflüchtet und die Trennung sei erst in Griechenland erfolgt, wo alle Familienmitglieder mit Fingerabdrücken registriert worden seien. Auch wenn der volljährige Beschwerdeführer kein Familienangehöriger im Sinne von Art. 2 Bst. i Dublin-II-VO sei, so stelle sich doch die Frage, ob die Trennung eines zwar volljährigen, aber dennoch heranwachsenden Jugendlichen von seiner Familie vom Gesetzgeber gewollt sei. Dies hätte zur Folge, dass die Familie unter Umständen in der Schweiz Asyl erhalte oder eine vorläufige Auf­nahme, wohingegen der Beschwerdeführer als Einziger nach Griechenland ausgeschafft würde. Gerade für solche Härtefälle werde nach Art. 3 Abs. 2 Dublin-II-VO dem an sich unzuständigen Staat die Möglichkeit eröffnet, formaljuristische Grausamkeiten zu vermeiden. Den Eltern und Geschwistern des Beschwerdeführers werde nicht zugemutet, nach Griechenland zurückgeschickt zu werden, das BFM habe sich in deren Asylverfahren für zuständig erklärt. Die Vorinstanz hätte entsprechend auch bezüglich des Beschwerdeführers das Selbsteintrittsrecht ausüben müssen. In einem zweiten Schritt verweist der Beschwerdeführer mit ausführ­licher Begründung auf die derzeitige Situation in Griechenland, wonach Asylsuchende - auch Dublin-Rückkehrer - in Griechenland keinen effektiven Zugang zu einem fairen Asylverfahren hätten. Überdies liefen Flüchtlinge grosse Gefahr, ohne Prüfung ihres Asyl­antrages unter erniedrigenden Bedingungen in Ausschaffungshaft festgehalten und in ihr Heimatland zurückgeschickt zu werden. Zudem seien die Lebensbedingungen in Griechenland als unmenschlich zu bezeichnen. Es stehe fest, dass in Griechenland fundamentale Menschenrechtsgarantien verletzt würden.</w:t>
      </w:r>
    </w:p>
    <w:p>
      <w:r>
        <w:rPr>
          <w:b/>
        </w:rPr>
        <w:t>E. 4.2</w:t>
      </w:r>
    </w:p>
    <w:p>
      <w:r>
        <w:t>Das BFM entgegnet in der seiner Vernehmlassung, Dublin-Rück­kehrende würden nach der Überstellung von der Flughafenpolizei registriert und aufgefordert, nach Verlassen der Flughafenunterkunft einen ihnen vergebenen Termin beim Polizeidirektorat einzuhalten, wo das Asylverfahren aufgenommen werde. Sie erhielten von der Flug­hafenpolizei ein Dokument, das ihren Aufenthalt legalisiere, bis sie sich beim Polizeidirektorat registriert hätten. Dort werde ihnen eine rosa Karte (Aufenthaltsbewilligung) ausgestellt und ein Termin für die Anhörung festgelegt. Falls die gesuchstellenden Personen zum Zeit­punkt der Registrierung beim Polizeidirektorat obdachlos seien, werde ein Verfahren zur Vermittlung von Unterkünften aufgenommen. Zudem hätten die griechischen Behörden hinsichtlich ihres Asylverfahrens verschiedene Änderungen beschlossen. Vor diesem Hintergrund könne das Bundesamt weder davon ausgehen, dass der Beschwerde­führer bei Ankunft von den griechischen Behörden inhaftiert werde, noch dass er keinen effektiven Zugang zum griechischen Asylver­fahren habe. Ebenso wenig sei davon auszugehen, dass er ohne Prüfung seines Asylgesuches in sein Heimatland zurückgeführt werde. Zur familiären Konstellation führte das BFM aus, der Begriff des Familienangehörigen im Sinne der Dublin-VO sei in Art. 2 Bst. i auf die Kernfamilie beschränkt und beinhalte somit den Ehegatten oder den nicht verheirateten Partner und die minderjährigen Kinder. Die Kern­familie müsse zudem bereits im Herkunftsstaat bestanden haben und die Minderjährigkeit der Kinder zum Zeitpunkt des Asylgesuches gegeben sein. Diese Bedingungen seien im vorliegenden Fall nicht erfüllt. Schliesslich wies die Vorinstanz darauf hin, beim Selbsteintritt beziehungsweise der Souveränitätsklausel handle es sich um eine Kann-Bestimmung und somit um einen Ermessensentscheid und die überwiegende Literatur sei sich darüber einig, dass die Anwendung der Souveränitätsklausel eine Ausnahme bleiben müsse.</w:t>
      </w:r>
    </w:p>
    <w:p>
      <w:r>
        <w:rPr>
          <w:b/>
        </w:rPr>
        <w:t>E. 4.3</w:t>
      </w:r>
    </w:p>
    <w:p>
      <w:r>
        <w:t>In seiner Replik lässt der Beschwerdeführer darlegen, er halte vollumfänglich an den Beschwerdebegehren fest. Die Schweizerische Flüchtlingshilfe (SFH) fordere das BFM nach wie vor auf, bis auf Weiteres sämtliche Dublin-Überstellungen nach Griechenland zu stoppen. Zudem seien die Äusserungen zur besonderen familiären Konstellation stossend. Insbesondere sei unerklärlich, wieso im Fall der anscheinend älteren Schwester C._______ kein Dublin-Verfahren durchgeführt beziehungsweise dieses abgebrochen worden sei, nicht jedoch im Fall des jüngeren Beschwerdeführers. Es bestehe durchaus die Möglichkeit, dass der Beschwerdeführer zum Zeitpunkt der Asylantragsstellung noch nicht 18 Jahre alt gewesen sei. Das BFM behandle einen gleichen Sachverhalt ungleich. Es mute mehr als zynisch an, dass eines der Kinder aus formaljuristischen Überlegungen, die den Sinn und Zweck der Verordnung und des Gestaltungsmittels Selbsteintrittsklausel verfehlten, in ein Land zurückgeschickt werden solle, das elementare Rechte von Flüchtlingen missachte.</w:t>
      </w:r>
    </w:p>
    <w:p>
      <w:r>
        <w:rPr>
          <w:b/>
        </w:rPr>
        <w:t>E. 5.1</w:t>
      </w:r>
    </w:p>
    <w:p>
      <w:r>
        <w:t>Vom BFM wird nicht in Zweifel gezogen, dass es sich bei den im Verfahren N (...) aufgeführten Personen um die Eltern und Geschwister des Beschwerdeführers handelt. Aus den vom Gericht beigezogenen Akten ergibt sich im Weiteren, dass hinsichtlich der Eltern und Geschwister kein Dublin-Verfahren durchgeführt wird beziehungsweise dieses abgebrochen wurde. Wenn das Bundesamt sodann in seiner Vernehmlassung ausführte, die Bedingungen für die Anwendung der Bestimmungen über Familienangehörige seien nicht erfüllt (S. 2 unten), bezieht sich dies wohl auf die fehlende Minder­jährigkeit des Beschwerdeführers und nicht - wie in der Replik angenommen - auf die Frage, ob die Familie schon im Herkunftsstaat bestanden habe. Dieses Kriterium wird jedenfalls vom Bundesver­waltungsgericht angesichts der Aussagen sowohl des Beschwerde­führers als auch seiner Eltern als erfüllt betrachtet. Die Ausführungen der Vorinstanz zum Alter des Beschwerdeführers stehen sodann im Einklang mit der Rechtsprechung des Bundesverwaltungsgerichts (BVGE 2009/54 Erw. 3 f., mit Hinweis auf Entscheidungen und Mitteilungen der Schweizerischen Asylrekurskommission [EMARK] 2004 Nr. 30). Das Gericht sieht deshalb - und da der Beschwerde­führer diesbezüglich auch keine konkreten Einwendungen vortragen lässt - keinen Anlass, von der Annahme der Volljährigkeit abzu­weichen. Nach dem Gesagten ist somit mit dem BFM davon auszu­gehen, beim Beschwerdeführer handle es sich nicht um ein Familienmitglied im Sinne von Art. 2 Bst. i Dublin-II-VO.</w:t>
      </w:r>
    </w:p>
    <w:p>
      <w:r>
        <w:rPr>
          <w:b/>
        </w:rPr>
        <w:t>E. 5.2</w:t>
      </w:r>
    </w:p>
    <w:p>
      <w:r>
        <w:t>Gemäss Art. 3 Abs. 1 Dublin-II-VO prüfen die Mitgliedstaaten jeden Asylantrag, den ein Drittstaatsangehöriger an der Grenze oder im Hoheitsgebiet eines Mitgliedstaats stellt. Der Antrag wird von einem einzigen Mitgliedstaat geprüft, der nach den Kriterien des Kapitels III (der Dublin-II-VO) als zuständiger Staat bestimmt wird. Abweichend von diesem Abs. 1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 der VO und übernimmt die mit dieser Zuständigkeit einhergehenden Verpflichtungen (Art. 3 Abs. 2 Satz 1 und 2 Dublin-II-VO). Das Bundesverwaltungsgericht geht mit der Vorinstanz (vgl. Vernehmlassung S. 2) davon aus, dass es sich beim Entscheid über die Anwendung von Art. 3 Abs. 2 Dublin-II-VO um einen Ermessensentscheid handelt (vgl. Urteil des Bundesver­waltungsgerichts E-466/2010 vom 14. Mai 2010; Filzwieser/Sprung, a.a.O., K7 ff. zu Art. 3). Auch bei einem Ermessensentscheid sind der entscheidenden Behörde jedoch gewisse Schranken gesetzt. So ist jedenfalls die qualifiziert fehlerhafte Ermessensausübung - wie der Ermessensmissbrauch (vgl. Ulrich Häfelin/Georg Müller/Felix Uhlmann, Allgemeines Verwaltungsrecht, 5. Aufl., Zürich/Basel/Genf 2006, Rz. 473) - als justiziabel zu betrachten (Filzwieser/Sprung, a.a.O., K9 zu Art. 3). Ermessensmissbrauch liegt vor, wenn die im Rechtssatz umschriebenen Voraussetzungen und Grenzen des Ermessens zwar beachtet worden sind, aber das Ermessen nach unsachlichen, dem Zweck der massgebenden Vorschriften fremden Gesichtspunkten betätigt wird oder allgemeine Rechtsprinzipien wie das Verbot von Willkür und rechtsungleicher Behandlung, das Gebot von Treu und Glauben sowie der Grundsatz der Verhältnismässigkeit verletzt werden (Häfelin/Müller/Uhlmann, a.a.O., Rz. 463). Der verfassungsrechtliche Gleichbehandlungsgrundsatz (Art. 8 Abs. 1 der Bundesverfassung der Schweizerischen Eidgenossenschaft vom 18. April 1999 [BV, SR 101])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w:t>
      </w:r>
    </w:p>
    <w:p>
      <w:r>
        <w:rPr>
          <w:b/>
        </w:rPr>
        <w:t>E. 5.3</w:t>
      </w:r>
    </w:p>
    <w:p>
      <w:r>
        <w:t>Aus dem vom Bundesverwaltungsgericht beigezogenen Akten der Familienangehörigen des Beschwerdeführers ergibt sich, dass eine Schwester des Beschwerdeführers (F._______ beziehungsweise C._______) mit demselben (mangels eingereichter Identitätsdokumente fiktiven) Geburtsdatum ([xx.xx.1992]) geführt wird wie der Beschwerdeführer selber. Zwar stellte diese Schwester zusammen mit Eltern und weiteren Geschwistern bereits am 30. November 2009 - und damit vermutungsweise noch als Minderjährige - ihr Asylgesuch in der Schweiz. Nachdem allerdings angesichts der gleichzeitigen EURODAC-Treffer in Griechenland davon auszugehen ist, die gesamte Familie sei gemeinsam aus dem Heimatstaat ausgereist, und der Beschwerdeführer wie auch seine Mutter ausführten, er sei ungewollt in Griechenland zurückgeblieben, erweist sich die ungleiche Behandlung der Schwester des Beschwerdeführers und des Be­schwerdeführers einzig gestützt auf sein unfreiwilliges späteres Ein­reisedatum als zu formalistisch. Aus diesen Gründen ist bei der vorliegenden speziellen Konstellation sachgerecht, vom Selbsteintritt Gebrauch zu machen und das Asylverfahren des Beschwerdeführers in der Schweiz durchzuführen.</w:t>
      </w:r>
    </w:p>
    <w:p>
      <w:r>
        <w:rPr>
          <w:b/>
        </w:rPr>
        <w:t>E. 6</w:t>
      </w:r>
    </w:p>
    <w:p>
      <w:r>
        <w:t>Nach dem Gesagten ist die Beschwerde im Sinne der Erwägungen gutzuheissen, die Verfügung vom 11. August 2010 aufzuheben und das BFM anzuweisen, das Asylverfahren des Beschwerdeführers in der Schweiz durchzuführen.</w:t>
      </w:r>
    </w:p>
    <w:p>
      <w:r>
        <w:rPr>
          <w:b/>
        </w:rPr>
        <w:t>E. 7</w:t>
      </w:r>
    </w:p>
    <w:p>
      <w:r>
        <w:t>Bei diesem Ausgang des Verfahrens sind keine Verfahrenskosten zu erheben (Art. 63 Abs. 1 VwVG). Entsprechend wird das Gesuch um Gewährung der unentgeltlichen Rechtspflege im Sinne von Art. 65 Abs. 1 VwVG gegenstandslos. 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Der Rechtsver­treter weist in seiner Kostennote vom 19. August 2010 einen zeit­lichen Aufwand von 5 Stunden (bei einem Stundenansatz von Fr. 180.--) sowie Barauslagen von Fr. 170.-- (Porti, Telefon- und Fax­gebühren sowie Dolmetscherkosten) und damit einen Gesamtaufwand von Fr. 1'070.-- aus. Dieser erscheint mit Einschluss der Stellung­nahme vom 16. November 2010 angemessen, weshalb das BFM anzuweisen ist,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