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D-5886/2024 vom 29. August 2025</w:t>
      </w:r>
    </w:p>
    <w:p>
      <w:r>
        <w:t>Bundesverwaltungsgericht, 2025-08-29, DE</w:t>
      </w:r>
    </w:p>
    <w:p>
      <w:r>
        <w:rPr>
          <w:b/>
        </w:rPr>
        <w:t xml:space="preserve">Quelle: </w:t>
      </w:r>
      <w:r>
        <w:t>https://mcp.opencaselaw.ch/entscheid/bvger_D-5886_2024</w:t>
      </w:r>
    </w:p>
    <w:p>
      <w:r>
        <w:t>FR: TAF D-5886/2024 du 29 août 2025</w:t>
      </w:r>
    </w:p>
    <w:p>
      <w:r>
        <w:t>IT: TAF D-5886/2024 del 29 agosto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(Art. 83 Bst. d Ziff. 1 BGG; Art. 105 AsylG). Der Be- schwerdeführer ist als Verfügungsadressat zur Beschwerdeführung legiti- miert (Art. 48 VwVG). Auf die frist- und formgerecht eingereichte Be- schwerde ist (nach Leisten des Kostenvorschusses und unter nachfolgen- dem Vorbehalt) einzutreten (Art. 108 Abs. 2 AsylG und Art. 52 Abs. 1 VwVG).</w:t>
      </w:r>
    </w:p>
    <w:p>
      <w:r>
        <w:rPr>
          <w:b/>
        </w:rPr>
        <w:t>E. 1.2</w:t>
      </w:r>
    </w:p>
    <w:p>
      <w:r>
        <w:t>Soweit in der Rechtsmitteleingabe die Erteilung der aufschiebenden Wirkung und der Erlass eines superprovisorischen Vollzugsstopps bean- tragt werden, kann festgestellt werden, dass der Beschwerde von Geset- zes wegen aufschiebende Wirkung zukommt (vgl. Art. 6 AsylG i.V.m. Art. 55 Abs. 1 VwVG) und das SEM diese vorliegend nicht entzogen hat. Auf die entsprechenden Anträge ist daher mangels Rechtsschutzinteres- 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w:t>
      </w:r>
    </w:p>
    <w:p>
      <w:r>
        <w:t>Eine Verletzung der Begründungspflicht respektive des Anspruchs auf rechtliches Gehör (vgl. Art. 29 Abs. 2 BV, Art. 29 VwVG, Art. 35 Abs. 1</w:t>
      </w:r>
    </w:p>
    <w:p>
      <w:r>
        <w:t>D-5886/2024 Seite 5 VwVG) kann – entgegen der in der Beschwerde vertretenen Auffassung (vgl. a.a.O. S. 8 f.) – nicht festgestellt werden. Das SEM hat in einer Ge- samtwürdigung der Vorbringen und Beweismittel nachvollziehbar aufge- zeigt, von welchen Überlegungen es sich leiten liess (vgl. angefochtene Verfügung, Ziff. II). Soweit ferner gerügt wird, das SEM verkenne das Vor- liegen einer asylrelevanten Verfolgung im Heimatland, wird die sich aus dem Untersuchungsgrundsatz (vgl. Art. 12 VwVG i.V.m. Art. 6 AsylG) erge- bende Pflicht zur Feststellung des rechtserheblichen Sachverhalts mit der rechtlichen Würdigung der Sache vermengt, welche die materielle Ent- scheidung über die vorgebrachten Asylgründe betrifft, weshalb diesbezüg- lich auf die nachfolgenden Erwägungen zu verweisen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6.1</w:t>
      </w:r>
    </w:p>
    <w:p>
      <w:r>
        <w:t>Das Bundesverwaltungsgericht gelangt nach Prüfung der Akten zum Schluss, dass das SEM (im Ergebnis) zutreffend festgehalten hat, die Vor- bringen des Beschwerdeführers genügten den Anforderungen von Art. 3 AsylG an die flüchtlingsrechtliche Beachtlichkeit nicht. Die Beschwerde- ausführungen, welche sich auf eine sinngemässe Wiederholung der bishe- rigen Aussagen beschränken, halten dem nichts Stichhaltiges entgegen.</w:t>
      </w:r>
    </w:p>
    <w:p>
      <w:r>
        <w:t>D-5886/2024 Seite 6</w:t>
      </w:r>
    </w:p>
    <w:p>
      <w:r>
        <w:rPr>
          <w:b/>
        </w:rPr>
        <w:t>E. 6.2</w:t>
      </w:r>
    </w:p>
    <w:p>
      <w:r>
        <w:t>Hinsichtlich der geltend gemachten Nachteile seitens der türkischen Behörden vor seiner Ausreise (anhaltende Schikanen sowie kurzzeitige Festhaltungen [vgl. SEM-Akten A18 F49, F84 ff.; A40 F65 ff.]) ist – unge- achtet der Frage der Glaubhaftigkeit – festzuhalten, dass die Angehörigen der türkischen Behörden dem Beschwerdeführer keine konkreten Nach- teile androhten, weshalb diese Massnahmen die Intensität ernsthafter Nachteile im Sinne von Art. 3 Abs. 2 AsylG nicht erreichen. Als strafrecht- lich unbescholtene Person war es ihm denn auch möglich, legal aus der Türkei auszureisen (vgl. SEM-Akte A18 F140).</w:t>
      </w:r>
    </w:p>
    <w:p>
      <w:r>
        <w:rPr>
          <w:b/>
        </w:rPr>
        <w:t>E. 6.3</w:t>
      </w:r>
    </w:p>
    <w:p>
      <w:r>
        <w:t>Sodann erweist sich die vorinstanzliche Einschätzung bezüglich des gegen den Beschwerdeführer angeblich eingeleiteten Ermittlungsverfah- rens wegen Propaganda für eine terroristische Organisation als zutreffend. Sie steht – unter Berücksichtigung der nachfolgenden Erwägungen – im Einklang mit der Praxis des Bundesverwaltungsgerichts, wonach sich al- leine aus der Hängigkeit eines staatsanwaltschaftlichen Ermittlungsverfah- rens wegen Propaganda für terroristische Organisationen noch keine be- gründete Furcht vor zukünftiger Verfolgung im Sinne von Art. 3 AsylG ergibt, sondern nur bei Vorliegen zusätzlicher Risikofaktoren (vgl. das Re- ferenzurteil des BVGer E-4103/2024 vom 8. November 2024 E. 8), welche nachfolgend zu prüfen sind. Es ist derzeit – soweit aus den Akten ersichtlich – offen, ob die Staatsan- waltschaft aufgrund der dem Beschwerdeführer vorgeworfenen Handlun- gen in den sozialen Medien nach der Ausreise überhaupt Anklage erheben wird, ob das Gericht eine solche Anklage gegebenenfalls als begründet er- achten und ein Gerichtsverfahren gegen den Beschwerdeführer eröffnet würde, ob er in der Folge (aus flüchtlingsrechtlich relevanten Motiven) zu einer Strafe (flüchtlingsrechtlich relevanter Intensität) verurteilt würde und ob ein solches Urteil vor den türkischen Rechtsmittelinstanzen bestehen könnte. In diesem Zusammenhang ist erneut darauf hinzuweisen, dass der Beschwerdeführer in der Türkei bislang noch nie verurteilt wurde und damit strafrechtlich nicht vorbelastet ist. Sodann lassen die von ihm im Heimat- land beschriebenen politischen Tätigkeiten (Aushilfe bei der Verteilung der Parteizeitung respektive niederschwellige Hilfestellung bei Parteisitzungen und Parteikundgebungen, blosse Teilnahme an Newroz-Feierlichkeiten so- wie das Teilen prokurdischer Inhalte in den sozialen Medien [vgl. SEM-Ak- ten A18 F77, F81 ff., F104 ff.; A40 F38 ff., F54 ff.]) noch keine Exponiertheit erkennen. Unter diesen Umständen ist nicht von einer dem Beschwerde- führer in absehbarer Zukunft mit beachtlicher Wahrscheinlichkeit drohen- den flüchtlingsrechtlich relevanten Verfolgung auszugehen.</w:t>
      </w:r>
    </w:p>
    <w:p>
      <w:r>
        <w:t>D-5886/2024 Seite 7 Bei dieser Sachlage kann offenbleiben, ob die vom Beschwerdeführer ein- gereichten Verfahrensunterlagen (vgl. Sachverhalt, Bst. B.d) authentisch sind. Offenbleiben kann auch die Frage, ob er gegebenenfalls die in der Türkei hängigen Ermittlungsverfahren durch seine Beiträge in den sozialen Medien nach der Ausreise bewusst eingeleitet hat, um in rechtsmiss- bräuchlicher Absicht (allenfalls lediglich aufgrund subjektiver Nachflucht- gründe) einen Schutzstatus in der Schweiz zu erlangen.</w:t>
      </w:r>
    </w:p>
    <w:p>
      <w:r>
        <w:rPr>
          <w:b/>
        </w:rPr>
        <w:t>E. 6.4</w:t>
      </w:r>
    </w:p>
    <w:p>
      <w:r>
        <w:t>Schliesslich ist dem SEM darin zuzustimmen, dass sich den Akten auch keine konkreten Anhaltspunkte dafür entnehmen lassen, wonach er wegen seines familiären Umfeldes (vgl. Sachverhalt, Bst. A.) mit beachtlicher Wahrscheinlichkeit und in absehbarer Zukunft von Reflexverfolgungs- massnahmen ernsthaften Ausmasses betroffen sein könnte.</w:t>
      </w:r>
    </w:p>
    <w:p>
      <w:r>
        <w:rPr>
          <w:b/>
        </w:rPr>
        <w:t>E. 6.5</w:t>
      </w:r>
    </w:p>
    <w:p>
      <w:r>
        <w:t>Das SEM hat demzufolge die Flüchtlingseigenschaft des Beschwerde- führers zu Recht verneint und sein Asylgesuch folgerichtig abgelehnt.</w:t>
      </w:r>
    </w:p>
    <w:p>
      <w:r>
        <w:rPr>
          <w:b/>
        </w:rPr>
        <w:t>E. 7</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Vollzugshindernissen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vom SEM zutreffend festgehalten – das flüchtlingsrechtliche Rück-</w:t>
      </w:r>
    </w:p>
    <w:p>
      <w:r>
        <w:t>D-5886/2024 Seite 8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8.2.2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8.2.3</w:t>
      </w:r>
    </w:p>
    <w:p>
      <w:r>
        <w:t>Der Vollzug der Wegweisung ist somit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rPr>
          <w:b/>
        </w:rPr>
        <w:t>E. 8.3.2</w:t>
      </w:r>
    </w:p>
    <w:p>
      <w:r>
        <w:t>Auch sprechen – in Übereinstimmung mit dem SEM und entgegen der Ansicht des Beschwerdeführers – keine individuellen Gründe gegen einen Wegweisungsvollzug. Aufgrund seiner Arbeitserfahrungen (vgl.</w:t>
      </w:r>
    </w:p>
    <w:p>
      <w:r>
        <w:t>D-5886/2024 Seite 9 SEM-Akte A18 F20, F23 ff.) ist davon auszugehen, dass er auch zukünftig in der Lage sein wird, seinen Lebensunterhalt zu bestreiten. Sodann ver- fügt er im Heimatland über ein grosses familiäres Beziehungsnetz (vgl. SEM-Akte A18 F8 ff.), auf welches er bei Bedarf zurückgreifen kann. Was die auf Beschwerdeebene geltend gemachten, jedoch weder substantiier- ten noch belegten psychischen Probleme des Beschwerdeführers anbe- langt, ist er sodann auf die medizinischen Institutionen im Heimatstaat zu verweisen (vgl. statt vieler die Urteile des BVGer E-3979/2024, E- 7441/2024 vom 2. April 2025 E. 8.3.5, D-6886/2024 vom 14. November 2024 E. 9.3.4, je m.w.H.).</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und auch sonst nicht zu beanstanden ist (Art. 106 Abs. 1 AsylG und Art. 49 VwVG). Die Beschwerde ist abzuweisen.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D-5886/2024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