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D-5885/2022 vom 20. März 2023</w:t>
      </w:r>
    </w:p>
    <w:p>
      <w:r>
        <w:t>Bundesverwaltungsgericht, 2023-03-20, DE</w:t>
      </w:r>
    </w:p>
    <w:p>
      <w:r>
        <w:rPr>
          <w:b/>
        </w:rPr>
        <w:t xml:space="preserve">Quelle: </w:t>
      </w:r>
      <w:r>
        <w:t>https://mcp.opencaselaw.ch/entscheid/bvger_D-5885_2022</w:t>
      </w:r>
    </w:p>
    <w:p>
      <w:r>
        <w:t>FR: TAF D-5885/2022 du 20 mars 2023</w:t>
      </w:r>
    </w:p>
    <w:p>
      <w:r>
        <w:t>IT: TAF D-5885/2022 del 20 marzo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1.4</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3.3</w:t>
      </w:r>
    </w:p>
    <w:p>
      <w:r>
        <w:t>Gemäss Art. 20 Abs. 5 Satz 1 Dublin-III-VO ist der Mitgliedstaat, bei dem der erste Antrag auf internationalen Schutz gestellt wurde, gehalten, Antragstellende, die sich ohne Aufenthaltstitel im Hoheitsgebiet eines anderen Mitgliedstaats aufhalten oder dort einen Antrag auf internationalen Schutz gestellt haben, nachdem sie ihren ersten Antrag noch während des Verfahrens zur Bestimmung des zuständigen Mitgliedstaats zurückgezogen haben nach den Bestimmungen der Art. 23, 24, 25 und 29 wieder aufzunehmen, um das Verfahren zur Bestimmung des zuständigen Mitgliedstaats zum Abschluss zu bringen. Diese Bestimmung findet auch - wie vorliegend - im Falle der Weiterreise der Antragstellenden in einen anderen Mitgliedstaat bei noch nicht abgeschlossenem Zuständigkeitsverfahren Anwendung (vgl. Filzwieser/Sprung, Dublin-III-Verordnung, 2014, K. 19 zu Art. 20).</w:t>
      </w:r>
    </w:p>
    <w:p>
      <w:r>
        <w:rPr>
          <w:b/>
        </w:rPr>
        <w:t>E. 3.4</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Der Selbsteintritt ist zwingend, wenn individuelle völkerrechtliche Überstellungshindernisse vorliegen (BVGE 2015/9 E. 8.2.1).</w:t>
      </w:r>
    </w:p>
    <w:p>
      <w:r>
        <w:rPr>
          <w:b/>
        </w:rPr>
        <w:t>E. 4</w:t>
      </w:r>
    </w:p>
    <w:p>
      <w:r>
        <w:t>Vorliegend ergab ein Abgleich der Fingerabdrücke der Beschwerdeführenden mit der Eurodac-Datenbank, dass sie am 11. Oktober 2022 in Kroatien aufgegriffen und in diesem Dublin-Mitgliedstaat gleichentags als Asylsuchende registriert wurden. Das SEM ersuchte deshalb die kroatischen Behörden - unter Hinweis auf die Aussagen der Beschwerdeführenden, wonach sie in Kroatien nicht (willentlich) um Asyl ersucht hätten - um deren Wiederaufnahme. Die kroatischen Behörden stimmten dem Gesuch um Rückübernahme innert der in Art. 25 Abs. 1 Dublin-III-VO festgelegten Frist gestützt auf Art. 20 Abs. 5 Dublin-III-VO ausdrücklich zu. Damit ist die Zuständigkeit Kroatiens grundsätzlich gegeben (vgl. etwa Urteil des BVGer E-5839/2022 vom 22. Dezember 2022 E. 6 m.w.H.), was in der Beschwerde auch nicht bestritten wird.</w:t>
      </w:r>
    </w:p>
    <w:p>
      <w:r>
        <w:rPr>
          <w:b/>
        </w:rPr>
        <w:t>E. 5.1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5.3</w:t>
      </w:r>
    </w:p>
    <w:p>
      <w:r>
        <w:t>Gemäss Praxis des Bundesverwaltungsgerichts im Bereich der Wiederaufnahmeverfahren liegen zum heutigen Zeitpunkt keine konkreten Gründe für die Annahme vor, das Asylverfahren (inkl. Zuständigkeitsverfahren) und die Aufnahmebedingungen für Antragstellende in Kroatien würden systemische Schwachstellen im Sinne von Art. 3 Abs. 2 Satz 2 Dublin-III-VO aufweisen. Für eine Änderung der Rechtsprechung besteht - auch unter Berücksichtigung der Vorbringen der Beschwerdeführenden zu ihren Erlebnissen in Kroatien und des in der Beschwerde zitierten Berichts "Polizeigewalt in Bulgarien und Kroatien: Konsequenzen für Dublin-Überstellungen" der Schweizerischen Flüchtlingshilfe (SFH) vom 13. September 2022 sowie der (niedrigen) Anerkennungsquote für Asylsuchende in Kroatien im Jahr 2021 - keine Veranlassung (vgl. dazu etwa die Urteile des BVGer D-5422/2022 vom 23. Januar 2023 E. 8.2 und F-4002/2022 vom 26. September 2022 E. 7.2 ff., je m.w.H.).</w:t>
      </w:r>
    </w:p>
    <w:p>
      <w:r>
        <w:rPr>
          <w:b/>
        </w:rPr>
        <w:t>E. 5.4</w:t>
      </w:r>
    </w:p>
    <w:p>
      <w:r>
        <w:t>Eine Anwendung von Art. 3 Abs. 2 Sätze 2 und 3 Dublin-III-VO erweist sich demnach als nicht gerechtfertigt.</w:t>
      </w:r>
    </w:p>
    <w:p>
      <w:r>
        <w:rPr>
          <w:b/>
        </w:rPr>
        <w:t>E. 6.1</w:t>
      </w:r>
    </w:p>
    <w:p>
      <w:r>
        <w:t>Hinsichtlich des von den Beschwerdeführenden auf Beschwerdeebene - etwa mit ihren Vorbringen zu den behaupteten Erlebnissen in Kroatien sowie ihrer Vulnerabilität als Familie mit zwei kleinen Kindern und verschiedenen gesundheitlichen Problemen - geforderten zwingenden Selbsteintritts durch die Schweiz ist sodann Folgendes festzuhalten:</w:t>
      </w:r>
    </w:p>
    <w:p>
      <w:r>
        <w:rPr>
          <w:b/>
        </w:rPr>
        <w:t>E. 6.2</w:t>
      </w:r>
    </w:p>
    <w:p>
      <w:r>
        <w:t>Das Bundesverwaltungsgericht verkennt im Sinne der von den Beschwerdeführenden in den Dublin-Gesprächen geschilderten Erlebnisse und den in ihrer Beschwerde gemachten generellen Ausführungen nicht, dass der Empfang und die Aufnahmebedingungen für Asylsuchende in Kroatien problematisch sein können. Die Beschwerdeführenden vermögen indessen mit ihren Vorbringen zu ihren Erlebnissen in Kroatien nicht darzutun, dass sie dort - nach legaler Rückkehr aus einem Dublin-Mitgliedstaat - kein faires Asylverfahren erhalten würden und sie ernsthaft Gefahr laufen würden, bei einer Rückkehr dorthin unmenschlich im Sinne von Art. 3 EMRK behandelt zu werden. Sie werden sich nach der Dublin-Überstellung in einer anderen Situation als bei ihrer ersten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 Dies gilt auch in Bezug auf die geltend gemachte Gewalt und allfällige sexuelle Belästigungen seitens kroatischer Polizisten. Im Übrigen steht den Beschwerdeführenden die Möglichkeit offen, die vor Ort tätigen karitativen Organisationen zu kontaktieren. Daran vermögen die Ausführungen in der Beschwerdeschrift, wonach mehreren Nichtregierungsorganisationen (namentlich CPS) der Zugang zu den Aufnahmezentren in Zagreb und Kutina (im September 2018 und bald darauf) verweigert worden sei, nichts zu ändern (vgl. zum Ganzen etwa Urteil des BVGer D-5422/2022 vom 23. Januar 2023 E. 9.2).</w:t>
      </w:r>
    </w:p>
    <w:p>
      <w:r>
        <w:rPr>
          <w:b/>
        </w:rPr>
        <w:t>E. 6.3.1</w:t>
      </w:r>
    </w:p>
    <w:p>
      <w:r>
        <w:t>Soweit die Beschwerdeführenden geltend machen, dass bei einer Überstellung nach Kroatien mit einer massiven und unwiderruflichen Verschlechterung ihres (psychischen) Gesundheitszustands zu rechnen sei, weshalb eine Wegweisung gegen Art. 3 EMRK verstosse, ist zunächst festzuhalten, dass eine zwangsweise Rückweisung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6.3.2</w:t>
      </w:r>
    </w:p>
    <w:p>
      <w:r>
        <w:t>Eine solche Situation ist vorliegend nicht gegeben. Die von den Beschwerdeführenden anlässlich des Dublin-Gesprächs erwähnten gesundheitlichen Probleme und insbesondere die aktenkundigen Diagnosen - bei der Beschwerdeführerin wurden eine sekundäre Oligomenorrhoe, Ein- und Durchschlafstörungen respektive ausgeprägte Schlafstörungen mit Albträumen, eine nicht näher bezeichnete Angststörung beziehungsweise Panikattacken, ein Infekt der oberen Atemwege, Konjunktivitis, ein subakutes lumbospondylogenes Schmerzsyndrom respektive ein lumbosakrales Schmerzsyndrom nach Folter beziehungsweise eine Lendenwirbelprellung, beim Beschwerdeführer Kopfschmerzen, bei der älteren Tochter ein viraler Atemwegsinfekt und bei der jüngeren Tochter eine Otitis media perforata und (...) diagnostiziert - sowie allfällige (weitere) psychische Probleme der Beschwerdeführenden, bezüglich welcher eine Behandlung bisher offensichtlich nicht dringend angezeigt war, stehen einer Überstellung nach Kroatien nicht entgegen. Auch ist hinsichtlich des für den 15. Dezember 2022 geplanten Kinderarzttermins der jüngeren Tochter der Beschwerdeführenden (vgl. Bst. E. vorstehend), wozu allerdings noch kein ärztlicher Bericht eingereicht wurde, nicht davon auszugehen, dass bei ihr eine gravierende Erkrankung vorliegt, welche in Kroatien nicht (weiter) behandelt werden könnte. Kroatien verfügt grundsätzlich über eine ausreichende medizinische Infrastruktur. Sodann bestehen dort nebst den staatlichen Einrichtungen auch Angebote von Nichtregierungsorganisationen für die psychologische Betreuung, womit von einem genügenden psychologischen Behandlungsangebot auszugehen ist (vgl. etwa Urteil des BVGer D-5422/2022 vom 23. Januar 2023 E. 9.3.2 m.w.H). Auch unter Berücksichtigung der in der Beschwerde erwähnten Berichte von Nichtregierungsorganisationen hinsichtlich erheblicher Mängel und Einschränkungen im Zugang zum Gesundheitssystem ist nicht davon auszugehen, dass Kroatien seinen Verpflichtungen im Rahmen der Dublin-III-VO in medizinischer Hinsicht in genereller Weise nicht nachkommen könnte beziehungsweise nicht nachkommen wollte.</w:t>
      </w:r>
    </w:p>
    <w:p>
      <w:r>
        <w:rPr>
          <w:b/>
        </w:rPr>
        <w:t>E. 6.3.3</w:t>
      </w:r>
    </w:p>
    <w:p>
      <w:r>
        <w:t>Nach dem Gesagten steht das in der Beschwerde geltend gemachte Risiko einer Retraumatisierung bei einer Rückkehr nach Kroatien einer Überstellung ebenfalls nicht entgegen, weshalb sich weitere Ausführungen dazu erübrigen. Anzumerken bleibt, dass die schweizerischen Behörden, die mit dem Vollzug der angefochtenen Verfügung beauftragt sind, den medizinischen Umständen bei der Bestimmung der konkreten Modalitäten der Überstellung der Beschwerdeführenden Rechnung tragen und die kroatischen Behörden vorgängig über die spezifischen medizinischen Umstände informieren werden (vgl. Art. 31 f. Dublin-III-VO).</w:t>
      </w:r>
    </w:p>
    <w:p>
      <w:r>
        <w:rPr>
          <w:b/>
        </w:rPr>
        <w:t>E. 6.4</w:t>
      </w:r>
    </w:p>
    <w:p>
      <w:r>
        <w:t>Es bestehen im Weiteren keine Hinweise, welche im konkreten Fall der Überstellung der Beschwerdeführenden als Familie mit kleinen Kindern nach Kroatien entgegenstehen würden. In dieser Hinsicht sind keine Sachverhaltsumstände ersichtlich gemacht, welche die (impliziten) vorinstanzlichen Schlüsse betreffend das Vorhandensein von genügenden Aufenthaltsstrukturen massgeblich erschüttern könnten. Die Hinweise in der Beschwerde auf die Zahl der ukrainischen Kriegsflüchtlinge in Kroatien und die massiv gestiegene Zahl der Migranten auf der Balkanroute reichen hierfür nicht aus. Auch wenn sodann das Zentrum Kutina - wie in der Beschwerde geltend gemacht - aufgrund von Renovationsarbeiten (nach wie vor) geschlossen wäre, ist festzuhalten, dass es den kroatischen Behörden obliegt, im Rahmen der von ihnen eingegangenen Verpflichtungen, Familien mit Kindern rechtskonform unterzubringen und zu betreuen. Das SEM musste sich - entgegen der in der Beschwerde vertretenen Auffassung - demzufolge auch nicht veranlasst sehen, weitere Abklärungen zu den in Kroatien zur Verfügung stehenden Unterbringungsmöglichkeiten vorzunehmen (vgl. Urteil des BVGer D-5422/2022 vom 23. Januar 2023 E. 7.4 m.w.H.).</w:t>
      </w:r>
    </w:p>
    <w:p>
      <w:r>
        <w:rPr>
          <w:b/>
        </w:rPr>
        <w:t>E. 6.5</w:t>
      </w:r>
    </w:p>
    <w:p>
      <w:r>
        <w:t>Aufgrund des derzeitigen Erkenntnisstandes ist es nicht angezeigt, das SEM dazu zu verpflichten, bei den kroatischen Behörden (individuelle) Garantien dafür einzuholen, dass diese sich an die von ihnen eingegangenen völkerrechtlichen Verpflichtungen inklusive die adäquate und nahtlose medizinische Versorgung sowie eine nahtlose Unterbringung in den Strukturen für vulnerable Personen, namentlich auch Familien, halten (vgl. etwa Urteil des BVGer E-4341/2022 vom 8. Dezember 2022 E. 7.3.5). Vorliegend bestehen keine Gründe, die ein Abweichen von dieser Regel aufdrängen würden, weshalb der entsprechende Subeventualantrag abzuweisen ist.</w:t>
      </w:r>
    </w:p>
    <w:p>
      <w:r>
        <w:rPr>
          <w:b/>
        </w:rPr>
        <w:t>E. 6.6</w:t>
      </w:r>
    </w:p>
    <w:p>
      <w:r>
        <w:t>Soweit in der Beschwerde geltend gemacht wird, das Wohl der Töchter im Sinne von Art. 3 des Übereinkommens vom 20. November 1989 über die Rechte des Kindes (KRK, SR 0.107) und ihre Entwicklung wären bei einer Rückkehr nach Kroatien massiv gefährdet, ist Folgendes festzuhalten: Kroatien ist Signatarstaat der KRK und kommt seinen daraus erwachsenen Verpflichtungen grundsätzlich nach, weshalb eine Überstellung nach Kroatien weder eine Verletzung von Art. 3 KRK noch Art. 3 EMRK bedeutet. Die Töchter sind aufgrund ihres Alters beziehungsmässig stark auf ihre Eltern fixiert und angesichts der relativ kurzen Aufenthaltsdauer in der Schweiz hier noch nicht verwurzelt, sodass ein Vollzug der Wegweisung nicht gegen das Kindeswohl spricht. Gemäss Aktenlage bestehen auch keine Hinweise auf unverzüglich behandlungsbedürftige, schwere gesundheitliche Probleme beider Töchter.</w:t>
      </w:r>
    </w:p>
    <w:p>
      <w:r>
        <w:rPr>
          <w:b/>
        </w:rPr>
        <w:t>E. 6.7</w:t>
      </w:r>
    </w:p>
    <w:p>
      <w:r>
        <w:t>Nach dem Gesagten erweist sich die Überstellung nach Kroatien unter Beachtung der massgeblichen völkerrechtlichen Bestimmungen als zulässig, womit keine zwingenden Gründe für einen Selbsteintritt auf die Asylgesuche der Beschwerdeführenden ersichtlich sind. Daran vermag auch das Beschwerdevorbringen, wonach die Schwester der Beschwerdeführerin in der Schweiz ein Aufenthaltsrecht habe und die einzige Stütze der Familie sei, nichts zu ändern.</w:t>
      </w:r>
    </w:p>
    <w:p>
      <w:r>
        <w:rPr>
          <w:b/>
        </w:rPr>
        <w:t>E. 7.1</w:t>
      </w:r>
    </w:p>
    <w:p>
      <w:r>
        <w:t>Soweit die Beschwerdeführenden das Vorliegen von "humanitären Gründen" geltend machen und diesbezüglich dem SEM eine unzureichende Prüfung vorwerfen, ist schliesslich Folgendes festzuhalten:</w:t>
      </w:r>
    </w:p>
    <w:p>
      <w:r>
        <w:rPr>
          <w:b/>
        </w:rPr>
        <w:t>E. 7.2</w:t>
      </w:r>
    </w:p>
    <w:p>
      <w:r>
        <w:t>Gemäss Praxis des Bundesverwaltungsgerichts verfügt das SEM bei der Anwendung der Kann-Bestimmung von Art. 29a Abs. 3 AsylV 1 über einen Ermessensspielraum (vgl. BVGE 2015/9 E. 7 f.). Das Gericht überprüft den vorinstanzlichen Verzicht der Anwendung von Art. 29a Abs. 3 AsylV 1 nicht auf Angemessenheit hin, sondern beschränkt seine Beurteilung im Wesentlichen darauf, ob das SEM den Sachverhalt diesbezüglich korrekt und vollständig erhoben, allen wesentlichen Umständen Rechnung getragen und seinen Ermessensspielraum genutzt hat (vgl. Art. 106 Abs. 1 Bst. a und b AsylG).</w:t>
      </w:r>
    </w:p>
    <w:p>
      <w:r>
        <w:rPr>
          <w:b/>
        </w:rPr>
        <w:t>E. 7.3</w:t>
      </w:r>
    </w:p>
    <w:p>
      <w:r>
        <w:t>Die angefochtene Verfügung ist unter diesem Blickwinkel - trotz der textbausteinartigen Formulierungen und entgegen der in der Beschwerde vertretenen Auffassung - nicht zu beanstanden. Das SEM hat in der angefochtenen Verfügung gewürdigt, dass es sich bei den Beschwerdeführenden um eine Familie handelt und hat ihre behaupteten Erlebnisse in Kroatien sowie ihre gesundheitliche Situation berücksichtigt. Unter diesen Umständen sowie unter Hinweis auf die obigen Erwägungen kann dem SEM - entgegen den entsprechenden Rügen - weder eine Verletzung der Untersuchungs- und der Begründungspflicht noch eine Ermessensunterschreitung vorgeworfen werden. Der Eventualantrag auf Rückweisung ist demzufolge abzuweisen.</w:t>
      </w:r>
    </w:p>
    <w:p>
      <w:r>
        <w:rPr>
          <w:b/>
        </w:rPr>
        <w:t>E. 8</w:t>
      </w:r>
    </w:p>
    <w:p>
      <w:r>
        <w:t>Das SEM ist demnach zu Recht in Anwendung von Art. 31a Abs. 1 Bst. b AsylG auf die Asylgesuche der Beschwerdeführenden nicht eingetreten. Die übrigen Vorbringen der Beschwerdeführenden (insb. auch in der Rechtsmitteleingabe) sind nicht geeignet, eine Änderung dieser Einschätzung zu bewirken, weshalb nicht weiter darauf einzugehen ist. Da die Beschwerdeführenden nicht im Besitz einer gültigen Aufenthalts- oder Niederlassungsbewilligung sind,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Bei diesem Ausgang des Verfahrens wären die Kosten den Beschwerdeführenden aufzuerlegen (Art. 63 Abs. 1 VwVG). Da ihnen mit Instruktionsverfügung vom 12. Januar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