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D-5878/2014 vom 7. Januar 2015</w:t>
      </w:r>
    </w:p>
    <w:p>
      <w:r>
        <w:t>Bundesverwaltungsgericht, 2015-01-07, DE</w:t>
      </w:r>
    </w:p>
    <w:p>
      <w:r>
        <w:rPr>
          <w:b/>
        </w:rPr>
        <w:t xml:space="preserve">Quelle: </w:t>
      </w:r>
      <w:r>
        <w:t>https://mcp.opencaselaw.ch/entscheid/bvger_D-5878_2014</w:t>
      </w:r>
    </w:p>
    <w:p>
      <w:r>
        <w:t>FR: TAF D-5878/2014 du 7 janvier 2015</w:t>
      </w:r>
    </w:p>
    <w:p>
      <w:r>
        <w:t>IT: TAF D-5878/2014 del 7 gennaio 2015</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liegt nicht vor.</w:t>
      </w:r>
    </w:p>
    <w:p>
      <w:r>
        <w:rPr>
          <w:b/>
        </w:rPr>
        <w:t>E. 1.2</w:t>
      </w:r>
    </w:p>
    <w:p>
      <w:r>
        <w:t>Das Verfahren richtet sich nach dem VwVG, dem VGG und dem BGG, soweit das AsylG nichts anderes bestimmt (Art. 37 VGG und Art. 6 AsylG). Aufgrund der Zuweisung des Beschwerdeführers in den Testbetrieb des Verfahrenszentrums in Zürich kommt zudem die TestV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i.V.m. Art. 112b AsylG und Art. 20 Abs. 3 VwVG sowie Art. 105 AsylG i.V.m. Art. 37 VGG und Art. 48 Abs. 1 sowie Art. 52 Abs. 1 VwVG). Auf die Beschwerde ist einzutreten.</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Entscheids im Wesentlichen aus, gemäss seinen (internen) Abklärungen seien die nordirakischen Sicherheitskräfte schutzwillig und schutzfähig, weshalb sich der Beschwerdeführer durchaus an diese hätte wenden können. Bei der Einschätzung des Beschwerdeführers, wonach die lokalen Sicherheitsbehörden ihre Pflichten nicht wahrnehmen und gewisse kriminelle oder terroristische Gruppierungen unterstützen würden, handle es sich um eine reine Vermutung. Demnach seien die geltend gemachten Asylvorbringen nicht asylrelevant, und der Beschwerdeführer sei nicht auf den Schutz der Schweiz angewiesen. Angesichts der fehlenden Asylrelevanz könne darauf verzichtet werden, auf bestehende Unglaubhaftigkeitselemente näher einzugehen. Die eingereichten Beweismittel vermöchten an diesem Ergebnis nichts zu ändern. Aufgrund dessen erfülle der Beschwerdeführer die Flüchtlingseigenschaft nicht, weshalb das Asylgesuch abzulehnen sei. Das BFM erwog im Weiteren, der Wegweisungsvollzug in den Nordirak sei zulässig, zumutbar und möglich, zumal in der Herkunftsprovinz des Beschwerdeführers (Suleimaniya) keine Situation allgemeiner Gewalt herrsche.</w:t>
      </w:r>
    </w:p>
    <w:p>
      <w:r>
        <w:rPr>
          <w:b/>
        </w:rPr>
        <w:t>E. 4.2</w:t>
      </w:r>
    </w:p>
    <w:p>
      <w:r>
        <w:t>In der Beschwerde wird im Wesentlichen gerügt, das BFM habe die ihm obliegende Begründungspflicht verletzt, da es nicht näher abgeklärt habe, ob die lokalen Behörden tatsächlich schutzfähig und -willig seien oder ob dem Beschwerdeführer seitens dieser Behörden nicht sogar Gefahr drohe. Da sich der Beschwerdeführer mehrere Jahre in Grossbritannien aufgehalten habe, könnte er allein deswegen als Anhänger des Islamischen Staats (IS bzw. vormals ISIS) verdächtigt werden. Insbesondere vor dem Hintergrund der aktuellen fragilen Sicherheitslage sei die vom Beschwerdeführer geltend gemachte Furcht vor den lokalen Behörden begründet. Bezüglich der Frage der Zumutbarkeit des Wegweisungsvollzugs wird ausgeführt, die Schnellrecherche der SFH vom 7. Oktober 2014 zeige auf, dass die Sicherheitslage in und um Suleimaniya sehr fragil sei. Daher müsse die Zumutbarkeit eines Wegweisungsvollzugs dorthin sorgfältig geprüft werden. Das BFM habe die entsprechende Begründung jedoch in bloss zwei Sätzen abgehandelt. Die aktuelle Menschen- und Sicherheitslage in dieser Region sei ungenügend berücksichtigt und der entsprechend relevante Sachverhalt unvollständig abgeklärt worden.</w:t>
      </w:r>
    </w:p>
    <w:p>
      <w:r>
        <w:rPr>
          <w:b/>
        </w:rPr>
        <w:t>E. 4.3</w:t>
      </w:r>
    </w:p>
    <w:p>
      <w:r>
        <w:t>Das BFM führt in seiner Vernehmlassung im Wesentlichen aus, es gebe vorliegend keine konkreten Anhaltspunkte dafür, dass die kurdischen Behörden den Beschwerdeführer der Zugehörigkeit zur IS verdächtigen könnten. Wäre dies der Fall, so wäre der Beschwerdeführer bereits nach seiner Ankunft aus Grossbritannien ausführlich befragt oder zumindest in der Folge vom kurdischen Geheimdienst kontaktiert worden. Demnach bestehe kein Grund, weshalb sich der Beschwerdeführer nicht zwecks Schutzsuche an die heimatlichen Behörden hätte wenden können. Sodann sei der Vorwurf, wonach im Hinblick auf den Wegweisungsvollzug die aktuelle und konkrete Gefährdung im Heimatland nicht abgeklärt worden sei, unbegründet. Diesbezüglich sei auf das entsprechende Consulting (vgl. vorinstanzliche Akte A28) zu verweisen.</w:t>
      </w:r>
    </w:p>
    <w:p>
      <w:r>
        <w:rPr>
          <w:b/>
        </w:rPr>
        <w:t>E. 4.4</w:t>
      </w:r>
    </w:p>
    <w:p>
      <w:r>
        <w:t>In der Replik wird entgegnet, die Akte 28 sei der Rechtsvertretung weder mit dem Entscheidentwurf zugestellt noch im Aktenverzeichnis aufgelistet worden. Die Rechtsvertretung habe davon keine Kenntnis gehabt. Dieses Vorgehen sei problematisch; denn aufgrund des Anspruchs auf rechtliches Gehör und des Grundsatzes der Waffengleichheit müssten dem Beschwerdeführer Herkunftsländerinformationen sowie deren Würdigung transparent dargelegt werden. Dies gelte insbesondere im vorliegenden Fall, wo derartige Informationen ein zentrales Element darstellten. Die fehlende Offenlegung stelle einen erheblichen Verfahrensmangel dar. Falls das Bundesverwaltungsgericht der Auffassung sei, die Gehörsverletzung könne im Rechtsmittelverfahren geheilt werden, sei die Vor­instanz zumindest anzuweisen, die entsprechenden Quellen im Beschwerdeverfahren offenzulegen, und dem Beschwerdeführer sei eine angemessene Frist zur Stellungnahme einzuräumen. Alternativ sei die Unzumutbarkeit des Wegweisungsvollzugs festzustellen. Bei der Beurteilung der aktuellen Sicherheits- und Menschenrechtslage sei zudem die Medienmitteilung der SFH vom 12. November 2014 zu berücksichtigen.</w:t>
      </w:r>
    </w:p>
    <w:p>
      <w:r>
        <w:rPr>
          <w:b/>
        </w:rPr>
        <w:t>E. 5</w:t>
      </w:r>
    </w:p>
    <w:p>
      <w:r>
        <w:t>Vorab ist zu prüfen, ob das BFM mit der angefochtenen Verfügung den Anspruch des Beschwerdeführers auf rechtliches Gehör verletzt hat, da eine allfällige Verletzung dieses Anspruchs zur Aufhebung der angefochtenen Verfügung führen kann.</w:t>
      </w:r>
    </w:p>
    <w:p>
      <w:r>
        <w:rPr>
          <w:b/>
        </w:rPr>
        <w:t>E. 5.1</w:t>
      </w:r>
    </w:p>
    <w:p>
      <w:r>
        <w:t>Der Grundsatz des rechtlichen Gehörs, welcher in Art. 29 Abs. 2 BV verankert und in den Art. 29 ff. VwVG für das Verwaltungsverfahren konkretisiert wird, dient einerseits der Aufklärung des Sachverhalts, andererseits stellt er ein persönlichkeitsbezogenes Mitwirkungsrecht der Parteien dar. Der Grundsatz des rechtlichen Gehörs umfasst verschiedene Teilgehalte, unter anderem das Recht auf Akteneinsicht (Art. 26-28 VwVG) und die Pflicht der Behörde, ihre Verfügungen zu begründen (Art. 35 Abs. 1 VwVG).</w:t>
      </w:r>
    </w:p>
    <w:p>
      <w:r>
        <w:rPr>
          <w:b/>
        </w:rPr>
        <w:t>E. 5.2</w:t>
      </w:r>
    </w:p>
    <w:p>
      <w:r>
        <w:t>Gemäss Art. 26 VwVG hat die Partei oder ihr Vertreter grundsätzlich Anspruch darauf, Einsicht in folgende Aktenstücke zu nehmen: Eingaben von Parteien und Vernehmlassungen von Behörden, sämtliche Aktenstücke, welche geeignet sind, in einem konkreten Verfahren als Beweismittel zu dienen, sowie Niederschriften eröffneter Verfügungen. Nur wenn den Betroffenen in einem Verfahren die Möglichkeit eingeräumt wird, die Unterlagen einzusehen, auf welche sich die Behörde bei ihrem Entscheid stützt, können sie sich wirksam zur Sache äussern und geeignet Beweis führen beziehungsweise Beweismittel bezeichnen. Ausgenommen vom Recht auf Akteneinsicht sind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m.w.H.). Im vorliegenden Fall wird gerügt, das BFM habe dem Beschwerdeführer zu Unrecht keine Einsicht in die Akte 28 (internes Consulting) gewährt. Diesbezüglich ist Folgendes festzustellen: Bei der Akte 28 handelt es sich um einen Bericht der BFM-internen Abteilung für Länderanalysen zur Sicherheitslage in Suleimaniya vom 1. Oktober 2014. In seiner Vernehmlassung vom 5. November 2014 erklärt das BFM, es habe durchaus Abklärungen betreffend die Situation am Herkunftsort des Beschwerdeführers getätigt, und verweist dabei auf die fragliche Akte 28. In der angefochtenen Verfügung erwähnt das BFM diesen Consulting-Bericht nicht ausdrücklich, führt jedoch aus, die nordirakischen Behörden seien "gemäss unseren Abklärungen" schutzwillig und schutzfähig, und es herrsche "gemäss aktuellen Erkenntnissen des BFM" in Suleimaniya keine Situation allgemeiner Gewalt. Daraus sowie aus der Tatsache, dass das BFM in seiner Verfügung keine anderen Quellen nennt, ist zu schliessen, dass es sich bei seinem Entscheid sowohl im Asylpunkt als auch bei der Beurteilung der Zumutbarkeit des Wegweisungsvollzugs massgeblich und letztlich zum Nachteil des Beschwerdeführers auf den Inhalt des Consulting-Berichts abgestützt hat. Dessen ungeachtet hat es das BFM indessen nicht nur unterlassen, den Beschwerdeführer vor Erlass der Verfügung vom Inhalt von A28 in Kenntnis zu setzen, sondern hat ihn offenbar überhaupt nicht über die Existenz dieses Dokuments informiert. Die Rechtsvertretung des Beschwerdeführers erhielt zwar ein Aktenverzeichnis, dieses bildete jedoch den Stand der Akten vom 29. September 2014 ab (vgl. Replikbeilage 1). Der Consulting-Bericht datiert vom 1. Oktober 2014 und war darauf somit noch nicht aufgeführt; ein nachgeführtes Aktenverzeichnis wurde der Rechtsvertreterin nicht zugestellt. Angesichts der offensichtlichen Massgeblichkeit des Consulting-Berichts für den Entscheid des BFM wäre dieses nicht nur verpflichtet gewesen, den Beschwerdeführer überhaupt von der Existenz von A28 in Kenntnis zu setzen, sondern hätte ihn vor Erlass der negativen Verfügung in geeigneter Form über den Inhalt des Consulting-Berichts informieren und ihm damit Gelegenheit geben müssen, konkrete Einwände gegen die von der Analyseabteilung gewonnenen Erkenntnisse und die daraus vom BFM gezogenen Schlussfolgerungen anzubringen. Indem das BFM dies unterlassen hat, hat es den Anspruch des Beschwerdeführers auf rechtliches Gehör im Sinne von Art. 30 Abs. 1 und 28 VwVG verletzt.</w:t>
      </w:r>
    </w:p>
    <w:p>
      <w:r>
        <w:rPr>
          <w:b/>
        </w:rPr>
        <w:t>E. 5.3</w:t>
      </w:r>
    </w:p>
    <w:p>
      <w:r>
        <w:t>Aus dem Grundsatz des rechtlichen Gehörs ergibt sich auch die Pflicht der Behörden, ihre Verfügungen zu begründen. Nach den von Lehre und Praxis entwickelten Grundsätzen hat die verfügende Behörde demnach die Überlegungen zu nennen, von denen sie sich leiten liess und auf die sich ihr Entscheid stützt. Die Begründung des Entscheides muss so abgefasst sein, dass der Betroffene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 Im vorliegenden Fall hat das BFM in seiner Verfügung vom 2. Oktober 2014 im Asylpunkt ausgeführt, der Beschwerdeführer könne sich zwecks Schutzsuche an die heimatlichen Sicherheitsbehörden wenden, da diese schutzfähig und schutzwillig seien. Im Wegweisungsvollzugspunkt erwog das BFM, es herrsche in der Provinz Suleimaniya keine Situation allgemeiner Gewalt, weshalb der Wegweisungsvollzug dorthin grundsätzlich zumutbar sei. Diesbezüglich ist allerdings festzustellen, dass sich die allgemeine Sicherheitslage im Nordirak in den letzten Monaten kontinuierlich verschlechtert hat. Zwar ist es dem IS bisher nicht gelungen, Gebiete im kurdischen Kernland der Provinzen Erbil, Dohuk und Suleimaniya einzunehmen; regelmässig kommt es jedoch entweder in oder um Mossul oder in Kirkuk - beide Städte liegen nur wenige Kilometer von der kurdischen Grenze entfernt - zu Gefechten zwischen der kurdischen Peschmerga und IS-Kämpfern. Die Behörden der kurdischen Regionalregierung (KRG) befürchten ausserdem, dass sich unter den sunnitischen Vertriebenen, welche in der KRG-Region Zuflucht gesucht haben, auch Infiltranten oder Sympathisanten der IS befinden könnten. Zudem herrscht Angst vor kurdischen Rückkehrern, die auf der Seite der IS in Syrien gekämpft haben (vgl. dazu Alexandra Geiser, Auskunft der SFH vom 28. Oktober 2014, IRAK: Sicherheitssituation in der KRG-Region, mit weiteren Hinweisen). Diese angespannte Sicherheitslage dürfte dazu führen, dass die kurdischen Sicherheitskräfte zurzeit primär damit beschäftigt sind, allfällige in die KRG-Region eingereiste IS-Kämpfer zu enttarnen und allenfalls geplante Terroranschläge zu verhindern. Dies dürfte wiederum zur Folge haben, dass allgemeine polizeiliche Aufgaben, darunter der Schutz der Bürger vor kriminellen Handlungen ihrer Mitbürger, vernachlässigt werden müssen. Bei dieser Sachlage reicht es unter dem Aspekt der Begründungsdichte nicht aus, wenn das BFM ohne nähere Ausführungen lediglich feststellt, die nordirakischen Behörden seien schutzwillig und schutzfähig. Vielmehr wäre das BFM verpflichtet gewesen, - allenfalls nach Vornahme weiterer Abklärungen - eingehender zu begründen, weshalb es auch in Anbetracht der gegenwärtigen Situation im Nordirak zum Schluss kommt, die Schutzfähigkeit und Schutzwilligkeit der KRG-Sicherheitsbehörden im Sinne des Schutzes einzelner Bürger vor angedrohten kriminellen Übergriffen durch andere Bürger sei weiterhin gegeben. Gleiches gilt auch bezüglich der rudimentären Erwägungen des BFM zur Frage der Zumutbarkeit des Wegweisungsvollzugs in die Provinz Suleimaniya: Auch in diesem Punkt erscheint die Begründung des BFM angesichts der instabilen Sicherheitslage im Nordirak als zu wenig ausführlich begründet. Insbesondere lässt die Begründung des BFM nicht erkennen, inwiefern es sich tatsächlich mit der aktuellen Lage im Nordirak auseinandergesetzt hat und gestützt auf welche konkreten Überlegungen es zum Schluss kam, der Wegweisungsvollzug sei im vorliegenden Fall generell zumutbar. Aus diesen Gründen ist festzustellen, dass das BFM seiner Begründungspflicht nicht in rechtsgenüglicher Art und Weise nachgekommen ist und auch dadurch den Anspruch des Beschwerdeführers auf rechtliches Gehör verletzt hat.</w:t>
      </w:r>
    </w:p>
    <w:p>
      <w:r>
        <w:rPr>
          <w:b/>
        </w:rPr>
        <w:t>E. 5.4</w:t>
      </w:r>
    </w:p>
    <w:p>
      <w:r>
        <w:t>Der Anspruch auf rechtliches Gehör ist formeller Natur, woraus folgt, dass bei seiner Verletzung der betreffende Entscheid grundsätzlich aufzuheben ist, unabhängig davon, ob er materiell richtig ist oder nicht.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 Für den vorliegenden Fall ist festzustellen, dass das BFM in der angefochtenen Verfügung gleich zweifach den Anspruch auf rechtliches Gehör verletzt hat, indem es die Begründungspflicht verletzt und dem Beschwerdeführer keine Einsicht in A28 gewährt (respektive ihn auch nicht anderweitig über den Inhalt des Consulting-Berichts informiert) hat. Diese Gehörsverletzung muss als schwerwiegend bezeichnet werden, zumal aufgrund der Aktenlage nicht davon ausgegangen werden kann, dass es sich dabei um ein Versehen handelte. Obwohl die Beschwerde grundsätzlich reformatorisch ausgestaltet ist (vgl. Art. 61 Abs. 1 VwVG), erscheint es demnach im vorliegenden Fall als angebracht, die angefochtene Verfügung aufzuheben und die Sache zur formell korrekten Durchführung des Verfahrens an die Vorinstanz zurückzuweisen, zumal dem Beschwerdeführer ansonsten eine Instanz verloren ginge.</w:t>
      </w:r>
    </w:p>
    <w:p>
      <w:r>
        <w:rPr>
          <w:b/>
        </w:rPr>
        <w:t>E. 6</w:t>
      </w:r>
    </w:p>
    <w:p>
      <w:r>
        <w:t>Nach dem Gesagten ist die Beschwerde gutzuheissen, die angefochtene Verfügung ist aufzuheben, und die Sache ist in Anwendung von Art. 61 Abs. 1 in fine VwVG zur rechtsgenüglichen Gewährung des rechtlichen Gehörs bezüglich A28 und zur erneuten Beurteilung im Sinne der Erwägungen an die Vorinstanz zurückzuweisen.</w:t>
      </w:r>
    </w:p>
    <w:p>
      <w:r>
        <w:rPr>
          <w:b/>
        </w:rPr>
        <w:t>E. 7</w:t>
      </w:r>
    </w:p>
    <w:p>
      <w:r>
        <w:t>Bei dieser Sachlage erübrigt es sich, auf die übrigen Anträge und Ausführungen in der Beschwerdeschrift näher einzugehen.</w:t>
      </w:r>
    </w:p>
    <w:p>
      <w:r>
        <w:rPr>
          <w:b/>
        </w:rPr>
        <w:t>E. 8.1</w:t>
      </w:r>
    </w:p>
    <w:p>
      <w:r>
        <w:t>Bei diesem Ausgang des Verfahrens sind keine Verfahrenskosten aufzuerlegen (Art. 63 Abs. 1 und 2 VwVG).</w:t>
      </w:r>
    </w:p>
    <w:p>
      <w:r>
        <w:rPr>
          <w:b/>
        </w:rPr>
        <w:t>E. 8.2</w:t>
      </w:r>
    </w:p>
    <w:p>
      <w:r>
        <w:t>Dem obsiegenden und vertretenen Beschwerdeführer ist zulasten der Vorinstanz eine Parteientschädigung für die ihm erwachsenen notwendigen und verhältnismässig hohen Kosten zuzusprechen (vgl. Art. 64 Abs. 1 VwVG i.V.m. Art. 37 VGG sowie Art. 7 des Reglements über die Kosten und Entschädigungen vor dem Bundesverwaltungsgericht vom 21. Februar 2008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