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D-5877/2015 vom 20. November 2015</w:t>
      </w:r>
    </w:p>
    <w:p>
      <w:r>
        <w:t>Bundesverwaltungsgericht, 2015-11-20, DE</w:t>
      </w:r>
    </w:p>
    <w:p>
      <w:r>
        <w:rPr>
          <w:b/>
        </w:rPr>
        <w:t xml:space="preserve">Quelle: </w:t>
      </w:r>
      <w:r>
        <w:t>https://mcp.opencaselaw.ch/entscheid/bvger_D-5877_2015</w:t>
      </w:r>
    </w:p>
    <w:p>
      <w:r>
        <w:t>FR: TAF D-5877/2015 du 20 novembre 2015</w:t>
      </w:r>
    </w:p>
    <w:p>
      <w:r>
        <w:t>IT: TAF D-5877/2015 del 20 novembre 2015</w:t>
      </w:r>
    </w:p>
    <w:p>
      <w:pPr>
        <w:pStyle w:val="Heading2"/>
      </w:pPr>
      <w:r>
        <w:t>Regeste</w:t>
      </w:r>
    </w:p>
    <w:p>
      <w:r>
        <w:t>Asyl (ohne Wegweisung)</w:t>
      </w:r>
    </w:p>
    <w:p>
      <w:pPr>
        <w:pStyle w:val="Heading2"/>
      </w:pPr>
      <w:r>
        <w:t>Erwägungen</w:t>
      </w:r>
    </w:p>
    <w:p>
      <w:r>
        <w:rPr>
          <w:b/>
        </w:rPr>
        <w:t>E. 1.1</w:t>
      </w:r>
    </w:p>
    <w:p>
      <w:r>
        <w:t>Gemäss Art. 31 Verwaltungsgerichtsgesetz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4.2</w:t>
      </w:r>
    </w:p>
    <w:p>
      <w:r>
        <w:t>Die Beschwerdeführenden gaben bei den Befragungen zur Person übereinstimmend an, keine behördlichen Probleme gehabt zu haben. Am Bürgerkrieg in der Heimat seien sie in keiner Weise als Beteiligte oder Mitwirkende in Erscheinung getreten. Sie seien durch die Kriegshandlungen auch nicht persönlich betroffen gewesen. Ein politisches Engagement verneinten sie ebenfalls. Auf Beschwerdeebene machten die Beschwerdeführenden diesbezüglich geltend, sie seien bei den Befragungen zur Person zu kurzen Schilderungen angehalten worden, weshalb sie nicht alle Fluchtgründe vorgetragen hätten. Zudem hätten sie damals noch Angst gehabt, ausführlich ihre politischen Aktivitäten darzulegen. Es trifft zwar zu, dass bei der Erstbefragung die zentralen Fluchtgründe im Allgemeinen nur summarisch anzugeben sind (vgl. S. 1 der Protokolle: "summarisch das Wichtige; eine Vertiefung kann später in einer weiteren Befragung erfolgen"). Aus den entsprechenden Protokollen ergibt sich aber, dass die Beschwerdeführenden zu Beginn der Befragungen unter anderem auf ihre Mitwirkungs- und Wahrheitspflicht aufmerksam gemacht wurden. Sie bestätigten, alle Punkte der Einleitung der Befragung verstanden zu haben. Auch das Verständnis hinsichtlich der dolmetschenden Person wurde von ihnen als gut bezeichnet. Am Schluss der Befragungen sagten sie aus, dass keine weiteren Gründe, welche gegen eine Rückkehr ins Heimatland sprechen würden, bestünden. Unterschriftlich bestätigten sie, dass die Protokolle ihren Aussagen und der Wahrheit entsprächen. Demzufolge müssen sie sich bei ihren Aussagen behaften lassen beziehungsweise es war am Schluss der Befragungen davon auszugehen, dass die wesentlichen Fluchtgründe protokolliert worden waren.</w:t>
      </w:r>
    </w:p>
    <w:p>
      <w:r>
        <w:rPr>
          <w:b/>
        </w:rPr>
        <w:t>E. 4.3.1</w:t>
      </w:r>
    </w:p>
    <w:p>
      <w:r>
        <w:t>Der Beschwerdeführer machte erst bei der Anhörung geltend, in den Jahren 2011 und 2012 wiederholt an regierungsfeindlichen Demonstrationen teilgenommen zu haben. Dem SEM ist insofern beizupflichten, als diese Vorbringen aufgrund der klaren Verneinung politischer Aktivitäten bei der Erstbefragung als nachgeschoben und dadurch grundsätzlich unglaubhaft erscheinen. Die geltend gemachte Angst, sich bereits bei der BzP umfassend zu äussern, erscheint in Anbetracht der bereits damals thematisierten Verschwiegenheitspflicht der Asylbehörden als nicht stichhaltiges Gegenargument. Vielmehr dürfte ein asyltaktisches Aussageverhalten im Vordergrund gestanden haben. Und selbst wenn man zugunsten des Beschwerdeführers davon ausgeht, er habe die gemäss seinen Aussagen niederschwelligen Aktivitäten tatsächlich ausgeübt, sie aber nicht als eigentliches politisches Engagement im Sinne der Fragen anlässlich der BzP verstanden, ist festzuhalten, dass es gemäss seinen Angaben zu keinen direkten Kontakten mit Behördenvertretern gekommen sei. Jedenfalls wäre selbst bei angenommener Glaubhaftigkeit des allfälligen Engagements im Rahmen von Massenprotesten nicht davon auszugehen, dass er als Regimegegner behördlich registriert wurde (A 11/12 insb. Antworten 28 und 36 f.). Entgegen den Beschwerdevorbringen kann er mithin auch in diesem Lichte besehen nicht als Person, die durch die staatlichen syrischen Sicherheitskräfte als Gegner des Regimes identifiziert wurde, angesehen werden (vgl. dazu obenstehend Ziff. 4.1).</w:t>
      </w:r>
    </w:p>
    <w:p>
      <w:r>
        <w:rPr>
          <w:b/>
        </w:rPr>
        <w:t>E. 4.3.2</w:t>
      </w:r>
    </w:p>
    <w:p>
      <w:r>
        <w:t>Ferner brachte der Beschwerdeführer nicht vor, eigentliche Kontakte mit den Militärbehörden gehabt zu haben. Er habe sich zwar ein Dienstbüchlein ausstellen lassen. Darin sei aber vermerkt worden, dass er sowohl vom regulären als auch vom Reservedienst befreit sei (A 11/12 Antworten 40 ff.). Er macht offensichtlich nicht geltend, ein militärisches Aufgebot sei bereits erfolgt oder er sei aus dem Dienst desertiert beziehungsweise er habe sich durch die Ausreise aus Syrien der Militärdienstpflicht entzogen. Entsprechend kann er auch aus dem zitierten BVGE 2015/3 nichts zu seinen Gunsten ableiten. Im Sinne der Beschwerdevorbringen dürften in Anbetracht der Vorgehensweise der syrischen Behörden die Einträge im Dienstbüchlein zwar nicht verlässlich eine militärische Aufbietung im Falle der Rückkehr - zu welchem Zeitpunkt dann auch immer - ausschliessen. Allein die blosse Möglichkeit, nach der Rückkehr allenfalls doch noch militärisch aufgeboten zu werden, vermag indes keine Furcht vor asylrechtlich relevanten Nachteilen zu begründen.</w:t>
      </w:r>
    </w:p>
    <w:p>
      <w:r>
        <w:rPr>
          <w:b/>
        </w:rPr>
        <w:t>E. 4.4.1</w:t>
      </w:r>
    </w:p>
    <w:p>
      <w:r>
        <w:t>Die Beschwerdeführerin machte bei der Anhörung ein - im Vergleich zum Beschwerdeführer intensiveres - politisches Engagement geltend und gab an, sich (...) der (...) angeschlossen zu haben. Sie sei den Behörden als Oppositionelle namentlich bekannt und gesucht worden. Gemäss obenstehender Erwägung zum erst nachträglich geltend gemachten politischen Engagement des Beschwerdeführers ist bei ihr ebenfalls nicht nachvollziehbar, weshalb sie die Parteizugehörigkeit verbunden mit Aktivitäten und behördlicher Suche bei der BzP nicht zumindest ansatzweise erwähnt hätte, wäre sie tatsächlich politisch aktiv gewesen und im Fokus der Behörden gestanden. Im Sinne der vorinstanzlichen Erwägungen wirken ihre Schilderungen zum politischen Engagement und vor allem diejenigen zur angeblichen behördlichen Suche aber ohnehin kaum substanziiert und erwecken auch aufgrund spärlicher Realkennzeichen kaum den Eindruck von tatsächlich Erlebtem oder Befürchtetem in der geltend gemachten Form (A 12/17 Antworten 17 ff.). Zudem kann nicht von einer drohenden Reflexverfolgung wegen des politischen Engagements ihres Vaters ausgegangen werden, da sie diesfalls kaum angegeben hätte, sich ausgerechnet bei ihm versteckt zu haben. Stichhaltige Beschwerdeargumente für eine andere Sichtweise sind wiederum nicht zu erkennen. Das beigebrachte (...)-Schreiben erweckt schon inhaltlich den Eindruck eines blossen Gefälligkeitsschreibens, sollte es sich überhaupt auf die Person der Beschwerdeführerin beziehen. Die allfällige Nachreichung eines Originaldokuments würde an dieser Beurteilung kaum etwas ändern.</w:t>
      </w:r>
    </w:p>
    <w:p>
      <w:r>
        <w:rPr>
          <w:b/>
        </w:rPr>
        <w:t>E. 4.5</w:t>
      </w:r>
    </w:p>
    <w:p>
      <w:r>
        <w:t>Schliesslich geht das SEM im Zusammenhang mit den Schilderungen zur generellen Bürgerkriegslage zu Recht davon aus, dass diesbezüglich keine zielgerichtete asylrelevante Verfolgung gegen die Beschwerdeführenden ersichtlich ist; ein Umstand, der von ihnen nicht bestritten wird.</w:t>
      </w:r>
    </w:p>
    <w:p>
      <w:r>
        <w:rPr>
          <w:b/>
        </w:rPr>
        <w:t>E. 5</w:t>
      </w:r>
    </w:p>
    <w:p>
      <w:r>
        <w:t>Unter Berücksichtigung der gesamten Umstände folgt, dass die Be­schwerdeführenden keine Gründe nach Art. 3 AsylG nachweisen oder glaub­haft machen konnten. Die Beschwerdevorbringen rechtfertigen keine andere Einschätzung. Die Vorinstanz hat die Flüchtlingseigen­schaft zu Recht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6.2</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Die Vorinstanz hat die Beschwerdeführenden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6.3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damit genügend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den Beschwerde­führenden aufzuerlegen (Art. 63 Abs. 1 VwVG). Nachdem ihr Ge­such im Sinne von Art. 65 Abs. 1 VwVG mit Zwischenverfügung vom 24. September 2015 gutgeheissen wurde und sich ihre finanzielle Situation seit­her nicht ent­scheidwesentlich veränderte,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