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D-586/2012 vom 3. März 2014</w:t>
      </w:r>
    </w:p>
    <w:p>
      <w:r>
        <w:t>Bundesverwaltungsgericht, 2014-03-03, DE</w:t>
      </w:r>
    </w:p>
    <w:p>
      <w:r>
        <w:rPr>
          <w:b/>
        </w:rPr>
        <w:t xml:space="preserve">Quelle: </w:t>
      </w:r>
      <w:r>
        <w:t>https://mcp.opencaselaw.ch/entscheid/bvger_D-586_2012</w:t>
      </w:r>
    </w:p>
    <w:p>
      <w:r>
        <w:t>FR: TAF D-586/2012 du 3 mars 2014</w:t>
      </w:r>
    </w:p>
    <w:p>
      <w:r>
        <w:t>IT: TAF D-586/2012 del 3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bringt vor, ihm drohe aufgrund früherer politischer Tätigkeiten für die DTP, auch vor dem Hintergrund des politisch aktiven Familienverbandes und der Inhaftierung seines Onkels und seines Cousins bei der Rückkehr Verhaftung und ein Strafverfahren, da das Militär nach ihm gesucht habe. Er sei im Rahmen einer erneuten Verhaftungswelle von DTP-Mitgliedern gefährdet. Auch wegen seiner Militärdienstverweigerung müsse er mit unverhältnismässiger Strafverfolgung und mehrfacher Verurteilung rechnen. Damit macht er Angst vor zukünftiger Verfolgung geltend.</w:t>
      </w:r>
    </w:p>
    <w:p>
      <w:r>
        <w:rPr>
          <w:b/>
        </w:rPr>
        <w:t>E. 4.2</w:t>
      </w:r>
    </w:p>
    <w:p>
      <w:r>
        <w:t>Das BFM lehnte das Vorliegen einer begründeten Furcht vor zukünftiger Verfolgung mangels Vorliegens hinreichender Anhaltspunkte für eine konkrete Bedrohung ab. Auch das Bundesverwaltungsgericht kommt zu dem Schluss, dass keine objektiven Anzeichen für eine drohende Verfolgung des Beschwerdeführers vorliegen.</w:t>
      </w:r>
    </w:p>
    <w:p>
      <w:r>
        <w:rPr>
          <w:b/>
        </w:rPr>
        <w:t>E. 4.3</w:t>
      </w:r>
    </w:p>
    <w:p>
      <w:r>
        <w:t>Begründete Furcht vor Verfolgung im Sinne von Art. 3 Abs. 1 AsylG liegt vor, wenn ein konkreter Anlass zur Annahme besteht, letztere hätte sich -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4.4</w:t>
      </w:r>
    </w:p>
    <w:p>
      <w:r>
        <w:t>Nach Kenntnis des Bundesverwaltungsgerichts wird in der Türkei - neben dem eigentlichen Strafregister ("Adli Sicil") - auf nationaler Ebene seit längerer Zeit ein zentrales EDV-unterstütztes Registrierungssystem, das so genannte Allgemeine Informationssystem GBTS, unterhalten. Diese Datenbank beinhaltet Einträge über Einzelpersonen und wird nach den vorliegenden Berichten durch den Dienst für Auskünfte über Schmuggel und Informationsverwaltung der Nationalen Polizei verwaltet.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beispielsweise auch Angaben über Ausreiseverbote, militärstrafrechtliche Delikte und gewisse Steuervergehen zu entnehmen sein (BVGE 2010/9 E. 5.3.1). Das Anlegen eines Datensatzes im GBTS erfolgt offenbar nicht auf dem gesamten Staatsgebiet immer nach genau gleichen Gesichtspunkten, erkennbar sind aber gewisse Grundtendenzen: So hat jedenfalls ein Strafverfahren wegen eines politischen Delikts - üblicherweise im Zeit-punkt des Abschlusses der staatsanwaltschaftlichen Voruntersuchung, spätestens aber bei Verfahrensabschluss - das Anlegen eines politischen Datenblatts zur Folge. Diese Fichierung bleibt in der Regel offenbar auch dann bestehen, wenn das Strafverfahren in der Folge eingestellt wird oder mit einem Freispruch endet (was von einer dem Gericht zur Verfügung stehenden Quelle damit begründet wird, dass die für das Anlegen des Datenblatts verantwortlichen Stellen den weiteren Fortgang des Strafverfahrens in der Regel nicht aktiv verfolgen und ihnen entsprechende Gerichtsbeschlüsse üblicherweise auch nicht mitgeteilt würden) (vgl. BVGE 2010/9 E. 5.3.2). Das Bundesverwaltungsgericht erachtet die Grenze der "beachtlichen Wahrscheinlichkeit" zukünftiger Verfolgungsmassnahmen bei Vorliegen eines politischen Datenblattes in der Regel als erreicht (BVGE, a.a.O., E. 5.3.4 und E. 5.3.5 S. 122).</w:t>
      </w:r>
    </w:p>
    <w:p>
      <w:r>
        <w:rPr>
          <w:b/>
        </w:rPr>
        <w:t>E. 4.5</w:t>
      </w:r>
    </w:p>
    <w:p>
      <w:r>
        <w:t>Die Botschaftsabklärung bei der schweizerischen Vertretung in Ankara hat jedoch ergeben, dass der Beschwerdeführer lediglich auf lokaler Ebene von den Militärbehörden gesucht werde, aber kein Datenblatt über ihn bestehe, keine Untersuchung oder ein Verfahren gegen ihn hängig sei und er keinem Passverbot unterliege. Der Botschaftsantwort lassen sich somit weder Hinweise darauf entnehmen, dass der Beschwerdeführer Verfolgungsmassnahmen der türkischen Sicherheits- und Strafverfolgungsbehörden ausgesetzt war, noch dass er als politisch unbequeme Person registriert wurde. In Übereinstimmung mit der Vorinstanz ist festzuhalten, dass kein Grund besteht, an der Richtigkeit der Botschaftsabklärung in Ankara zu zweifeln. Daher liegen keine Anhaltspunkte dafür vor, dass die Abklärungen nicht mit der nötigen Sorgfalt und Diskretion erfolgt wären oder die Auskunftsperson nicht den nötigen Zugang zu den Informationen hatte, wie die Beschwerdeseite behauptet. Damit liegt ein objektives gewichtiges Beweismittel vor, welches klar gegen die Annahme spricht, der Beschwerdeführer werde in seinem Heimatland polizeilich gesucht.</w:t>
      </w:r>
    </w:p>
    <w:p>
      <w:r>
        <w:rPr>
          <w:b/>
        </w:rPr>
        <w:t>E. 4.6</w:t>
      </w:r>
    </w:p>
    <w:p>
      <w:r>
        <w:t>Was der Beschwerdeführer dagegen vorbringt, ist nicht geeignet, hinreichende Anhaltspunkte für eine Bedrohung zu liefern. Die von ihm behauptete Suche der türkischen Sicherheitskräfte nach ihm im Zeitraum November 2009 bis Januar 2010 - wobei er die Zeitpunkte der Suche im Zusammenhang mit der Verhaftung seines Cousins und Onkels sowie den Ablauf der Durchsuchungen und den genauen Erhalt der Informationen nicht genauer zu beschreiben vermag (vgl. act. C15, S. 4) - stellt keinen hinreichenden Anhaltspunkt für eine konkrete Bedrohung dar. Die behördliche Suche nach dem Beschwerdeführer dürfte angesichts seines politischen Profils als einfaches Mitglied der DTP (vgl. act. C15, S. 3) eher mit dem ausstehenden Militärdienst des Beschwerdeführers als mit einer drohenden Festnahme aus politischen Gründen im Zusammenhang stehen, zumal andere Mitglieder seiner politisch aktiven Familie, wie seine Brüder oder Eltern, nicht gesucht oder festgenommen worden seien. Schliesslich geht aus den Akten nicht hervor, dass gegen den Beschwerdeführer in der Türkei ein Untersuchungsverfahren eröffnet worden wäre. In den eingereichten Referenz- und Bestätigungsschreiben der DTP und BDP (vgl. act. B1, C1 und Zusammenfassung C28 sowie Beilagen zur Beschwerde vom 1. Februar 2012) ist neben Ausführungen zur allgemeinen Lageverschärfung und zur Situation der Familie lediglich allgemein die Rede von der behördlichen Suche nach dem Beschwerdeführer. Mit Sicherheit hätten die türkischen Behörden auch in Abwesenheit des Beschwerdeführers ein Verfahren gegen ihn eröffnet, wenn sie tatsächlich ein Interesse an seiner Person gehabt hätten. Der Umstand, dass dies nicht geschehen ist, lässt die geltend gemachte Gefährdung als unwahrscheinlich erscheinen. Nach Erkenntnissen des Bundesverwaltungsgerichts wurden in der Türkei seit 2009 tausende Kommunalpolitiker, Funktionäre der BDP, Gewerkschafter, Journalisten, Künstler, Akademiker, Intellektuelle, Wissenschaftler und Menschenrechtsaktivisten Opfer von Massenverhaftungen, zumeist im Zusammenhang mit der sogenannten G._______-Operation der türkischen Regierung. Ein derartiges politisches Profil wie die bisher von Verhaftungen Betroffenen weist er aber als einfaches Parteimitglied nicht auf. Bei der G._______ handelt es sich um die (...), dem von der türkischen Regierung Verbindung zur PKK (Partiya Karkerên Kurdistan; Arbeiterpartei Kurdistans) vorgeworfen wird. Die G._______-Operationen begannen am (...) und wurden bis heute in mehreren Schüben fortgesetzt. Den Personen, die bei den bisherigen G._______-Operationen verhaftet wurden, wird vorgeworfen, eine terroristische Vereinigung zu unterstützen. Soweit der Beschwerdeführer vorbringt, er werde wie sein Onkel und Cousin unter dem Vorwand der G._______-Unterstützung gesucht, ist diese Annahme bereits angesichts seines politischen Profils, der einfachen Parteizugehörigkeit, nicht überzeugend.</w:t>
      </w:r>
    </w:p>
    <w:p>
      <w:r>
        <w:rPr>
          <w:b/>
        </w:rPr>
        <w:t>E. 4.7</w:t>
      </w:r>
    </w:p>
    <w:p>
      <w:r>
        <w:t>Weiter macht der Beschwerdeführer eine Reflexverfolgung geltend, da er DTP-Mitglied sei und aus einer bekannten, politisch oppositionellen Familie stamme. Er sei wie sein verhafteter Onkel und sein Cousin von der Festnahme bedroht und verfüge nicht über eine innerstaatliche Fluchtalternative.</w:t>
      </w:r>
    </w:p>
    <w:p>
      <w:r>
        <w:rPr>
          <w:b/>
        </w:rPr>
        <w:t>E. 4.8</w:t>
      </w:r>
    </w:p>
    <w:p>
      <w:r>
        <w:t>Das Bundesverwaltungsgericht geht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Im Zuge des Reformprozesses zur Annäherung an die Europäische Union hat sich die Verfolgungspraxis der türkischen Behörden zwar insofern geändert, als zwar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fernhalten (Entscheidungen und Mitteilungen der Schweizerischen Asylrekurskommission [EMARK] 2005 Nr. 21 E. 10.2.3. S. 199 f., mit weiteren Hinweisen). Es muss also aufgrund der Umstände des Einzelfalls ermittelt werden, ob die Furcht vor Verfolgung begründet ist.</w:t>
      </w:r>
    </w:p>
    <w:p>
      <w:r>
        <w:rPr>
          <w:b/>
        </w:rPr>
        <w:t>E. 4.9</w:t>
      </w:r>
    </w:p>
    <w:p>
      <w:r>
        <w:t>Vorab ist festzuhalten, dass sich den Akten des Beschwerdeführers sowie den beigezogenen Akten nicht entnehmen lässt, dass in der Türkei nach einem flüchtigen Familienmitglied des Beschwerdeführers gefahndet wird, weswegen schon deshalb kein Grund für eine Reflexverfolgung gegeben sein dürfte. Cousin und Onkel befinden sich nach Angaben des Beschwerdeführers noch immer in Haft. Im vorliegenden Fall ist zudem festzustellen, dass der Beschwerdeführer nicht geltend macht, vor seiner Ausreise aus der Türkei in engem Kontakt zu seinem verhafteten Onkel und Cousin gestanden zu haben. Auch werden die in der Türkei verbliebenen Familienmitglieder anscheinend nicht wegen der verhafteten Verwandten behelligt (act. A12, S. 7; act. C15, S. 4-6). Es ist somit nicht anzunehmen, der Beschwerdeführer werde wegen ihnen gesucht. Dass er sich vor der Ausreise offen für seinen politisch aktiven Cousin oder Onkel eingesetzt hätte, ist den Akten auch nicht zu entnehmen. Weiter ist auch nicht von einem bedeutenden politischen Engagement des Beschwerdeführers (als einfaches, ehemaliges DTP-Mitglied) für eine illegale Organisation auszugehen. Insgesamt gesehen bestehen daher keine konkreten Anhaltspunkte für die Annahme, der Beschwerdeführer habe bei einer Rückkehr in die Türkei eine Reflexverfolgung zu befürchten.</w:t>
      </w:r>
    </w:p>
    <w:p>
      <w:r>
        <w:rPr>
          <w:b/>
        </w:rPr>
        <w:t>E. 4.10</w:t>
      </w:r>
    </w:p>
    <w:p>
      <w:r>
        <w:t>Soweit der Beschwerdeführer erneut vorbringt, er befürchte, wegen Nichtleistens des Militärdienstes Nachteile im Sinne von Art. 3 AsylG zu erleiden, kann auf das Bundesverwaltungsgerichtsurteil im erstinstanzlichen Verfahren D-4487/2009 vom 4. November 2009 verwiesen werden. Wie im ersten Verfahren bereits festgehalten, stellen gemäss konstanter Rechtsprechung des Bundesverwaltungsgerichts strafrechtliche Konsequenzen wegen Refraktion, Dienstverweigerung oder Desertion bei einer Rückkehr in den Heimatstaat grundsätzlich keine Verfolgung im Sinne des Asylgesetzes dar. Es ist das legitime Recht eines Staates, seine Bürger zum Militärdienst einzuberufen. Die militärische Inpflichtnahme in der Türkei erfolgt zudem einzig aufgrund der Staatsangehörigkeit und des Jahrgangs des Betroffenen. Es ist auch nicht bekannt, dass Kurden gegen Angehörige der eigenen Ethnie eingesetzt würden. Strafrechtliche oder disziplinarische Massnahmen bei Pflichtverletzungen im Zusammenhang mit der Militärdienstpflicht sind daher grundsätzlich nicht als politisch motivierte oder menschenrechtswidrige Verfolgungsmassnahmen zu betrachten, wobei Ausnahmen vorbehalten bleiben,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(vgl. ausführlich das Urteil des Bundesverwaltungsgerichts E-4952/2006 vom 23. September 2010).</w:t>
      </w:r>
    </w:p>
    <w:p>
      <w:r>
        <w:rPr>
          <w:b/>
        </w:rPr>
        <w:t>E. 4.11</w:t>
      </w:r>
    </w:p>
    <w:p>
      <w:r>
        <w:t>Der Beschwerdeführer macht weiter geltend, aufgrund seiner politischen Aktivitäten in der Schweiz befürchte er bei einer Rückkehr Verfolgungsmassnahmen im Sinne des Asylgesetzes. Wer sich darauf beruft, dass durch sein Verhalten nach der Ausreise aus dem Heimat- oder Herkunftsland eine Gefährdungssituation erst geschaffen worden ist, macht subjektive Nachfluchtgründe geltend (vgl. Art. 54 AsylG). Solche begründen zwar die Flüchtlingseigenschaft im Sinne von Art. 3 AsylG, führen jedoch nach Art. 54 AsylG zum Ausschluss des Asyls, unabhängig davon, ob sie missbräuchlich oder nicht missbräuchlich gesetzt wurden. Die mit der Beschwerde geltend gemachten Aktivitäten im kurdischen Solidaritätsverein lassen nicht annehmen, dass er ins Visier der türkischen Behörden geraten sein könnte. Schliesslich lässt sich seinen Angaben nicht entnehmen, dass er sich anlässlich seiner Tätigkeiten über das Mass eines gewöhnlichen Vereinsmitgliedes hinaus exponiert hätte. Insoweit weist er kein besonders beachtenswertes politisches Profil auf. Sein kulturelles Engagement in der Schweiz lässt ihn nicht als engagierten und/oder exponierten oder gar staatsgefährdenden exilpolitischen Aktivisten erscheinen. Insoweit liegen dem Verhalten des Beschwerdeführers keine für das Asylverfahren relevanten subjektiven Nachfluchtgründe zugrunde, wie das BFM in seiner Vernehmlassung zu Recht festgehalten hat.</w:t>
      </w:r>
    </w:p>
    <w:p>
      <w:r>
        <w:rPr>
          <w:b/>
        </w:rPr>
        <w:t>E. 4.12</w:t>
      </w:r>
    </w:p>
    <w:p>
      <w:r>
        <w:t>Zusammenfassend ist festzustellen, dass sich die subjektive Furcht des Beschwerdeführers vor asylrelevanter Verfolgung im Falle der Rückkehr in den Heimatstaat in objektiver Hinsicht nicht bekräftigen lässt. Damit ist nach Würdigung der gesamten Umstände als Ergebnis festzuhalten, dass der Beschwerdeführer die Voraussetzungen der Flüchtlingseigenschaft im Sinne der Definition von Art. 3 AsylG nicht erfüllt.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(Art. 44 AsylG). Ist die asylsuchende Person indes im Besitz einer gültigen Aufenthalts- oder Niederlassungsbewilligung, wird die Wegweisung nicht verfügt (Art. 32 Bst. a der Asylverordnung 1 vom 11. August 1999 [AsylV 1, SR 142.311]).</w:t>
      </w:r>
    </w:p>
    <w:p>
      <w:r>
        <w:rPr>
          <w:b/>
        </w:rPr>
        <w:t>E. 5.2</w:t>
      </w:r>
    </w:p>
    <w:p>
      <w:r>
        <w:t>Der Beschwerdeführer verfügt nach der am 28. September 2012 erfolgten Heirat mit einer in der Schweiz Niedergelassenen grundsätzlich über einen Anspruch auf Erteilung einer ausländerrechtlichen Aufenthaltsbewilligung (Art. 43 Abs. 1 des Bundesgesetzes über die Ausländerinnen und Ausländer vom 16. Dezember 2005 [AuG, SR 142.20]), wobei die konkrete Beurteilung des (grundsätzlichen) Anspruchs und damit der Entscheid über die Wegweisung in die Zuständigkeit der ausländerrechtlichen Behörden fällt. Dem Beschwerdeführer wurde mittlerweile am 13. Dezember 2012 vom Kanton (...) eine entsprechende Aufenthaltsbewilligung erteilt, so dass die Beschwerde betreffend die Fragen der Wegweisung und des Wegweisungsvollzugs gegenstandslos geworden ist (vgl. BVGE 2008/34 E. 9.2 S. 510, mit Verweis auf EMARK 2001 Nr. 21).</w:t>
      </w:r>
    </w:p>
    <w:p>
      <w:r>
        <w:rPr>
          <w:b/>
        </w:rPr>
        <w:t>E. 6</w:t>
      </w:r>
    </w:p>
    <w:p>
      <w:r>
        <w:t>Die Beschwerde ist nach dem Gesagten insoweit als gegenstandslos geworden abzuschreiben, als sie die Fragen der Wegweisung und des Wegweisungsvollzugs betrifft. Im Übrigen ist die Beschwerde abzuweisen.</w:t>
      </w:r>
    </w:p>
    <w:p>
      <w:r>
        <w:rPr>
          <w:b/>
        </w:rPr>
        <w:t>E. 7.1</w:t>
      </w:r>
    </w:p>
    <w:p>
      <w:r>
        <w:t>Die unterliegende Partei hat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dem Eintritt des Erledigungsgrunds festgelegt (Art. 4 des Reglements vom 21. Februar 2008 über die Kosten und Entschädigungen vor dem Bundesverwaltungsgericht [VGKE, SR 173.320.2]).</w:t>
      </w:r>
    </w:p>
    <w:p>
      <w:r>
        <w:rPr>
          <w:b/>
        </w:rPr>
        <w:t>E. 7.2</w:t>
      </w:r>
    </w:p>
    <w:p>
      <w:r>
        <w:t>Die Heirat des Beschwerdeführers mit einer in der Schweiz Niedergelassenen ist nicht als ein die Gegenstandslosigkeit bewirkendes Verhalten im Sinne der genannten Bestimmung zu werten. Hinsichtlich der Frage der Kostenauflage wären deshalb die Erfolgschancen der Beschwerde vor der Heirat zu ermitteln. Die diesbezügliche Überprüfung der Akten ergibt, dass die Wegweisung als gesetzliche Regelfolge der Asylverweigerung zu bestätigen gewesen wäre (Art. 44 AsylG). Auch der angeordnete Vollzug der Wegweisung des noch jungen Beschwerdeführers, der Arbeitserfahrung als Landwirt vorweisen kann, wäre zu bestätigen gewesen, zumal er über ein weitreichendes familiäres Beziehungsnetz im Heimatland verfügt (vgl. act. A1 S. 2). Im Rahmen des ersten Asylverfahrens reichte der Beschwerdeführer einen Abklärungsbericht des Ambulatoriums für Folter- und Kriegsopfer vom 19. September 2009 ein, mit welchem eine chronische posttraumatische Belastungsstörung diagnostiziert wurde. Ob der Beschwerdeführer sich aktuell in psychotherapeutischer Behandlung befindet, ist nicht bekannt. Es ist jedoch festzuhalten, dass die Behandlung psychischer Probleme in der Türkei sowohl stationär als auch ambulant möglich ist. Es existieren landesweit psychiatrische Einrichtungen und Psychopharmaka stehen zur Verfügung. Insbesondere in türkischen Gross- und Provinzhauptstädten ist der Zugang zu Gesundheitsdiensten und Beratungsstellen sowie ambulanten Behandlungseinrichtungen für psychische Leiden gewährleistet. Daher kann davon ausgegangen werden, dass der Beschwerdeführer im Bedarfsfall in der Türkei eine adäquate Behandlung erhalten kann. Auch unter medizinischen Gesichtspunkten wäre die Rückkehr des Beschwerdeführers daher zumutbar gewesen, weshalb die Beschwerde damit vor der Heirat auch hinsichtlich der Fragen der Wegweisung und des Wegweisungsvollzugs keine Chancen auf Erfolg gehabt hätte.</w:t>
      </w:r>
    </w:p>
    <w:p>
      <w:r>
        <w:rPr>
          <w:b/>
        </w:rPr>
        <w:t>E. 7.3</w:t>
      </w:r>
    </w:p>
    <w:p>
      <w:r>
        <w:t>Es wäre deshalb vom vollumfänglichen Unterliegen des Beschwerdeführers auszugehen gewesen. Ihm wären damit die Verfahrenskosten in der Höhe von Fr. 600.- aufzuerlegen (Art. 63 Abs. 1 und 5 VwVG). Da ihm jedoch mit Zwischenverfügung vom 6. Februar 2012 die unentgeltliche Rechtspflege gemäss Art. 65 Abs. 1 VwVG gewährt wurde, sind ihm keine Kosten aufzuerlegen.</w:t>
      </w:r>
    </w:p>
    <w:p>
      <w:r>
        <w:rPr>
          <w:b/>
        </w:rPr>
        <w:t>E. 8</w:t>
      </w:r>
    </w:p>
    <w:p>
      <w:r>
        <w:t>Bei diesem Ausgang des Verfahrens ist dem Beschwerdeführer keine Parteientschädigung zuzusprechen (Art. 5 i.V.m.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