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D-5869/2017 vom 28. März 2019</w:t>
      </w:r>
    </w:p>
    <w:p>
      <w:r>
        <w:t>Bundesverwaltungsgericht, 2019-03-28, DE</w:t>
      </w:r>
    </w:p>
    <w:p>
      <w:r>
        <w:rPr>
          <w:b/>
        </w:rPr>
        <w:t xml:space="preserve">Quelle: </w:t>
      </w:r>
      <w:r>
        <w:t>https://mcp.opencaselaw.ch/entscheid/bvger_D-5869_2017</w:t>
      </w:r>
    </w:p>
    <w:p>
      <w:r>
        <w:t>FR: TAF D-5869/2017 du 28 mars 2019</w:t>
      </w:r>
    </w:p>
    <w:p>
      <w:r>
        <w:t>IT: TAF D-5869/2017 del 28 marzo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 Am 1. März 2019 ist die Teilrevision (AS 2016 3101) des Asylgesetzes vom 26. Juni 1998 (AsylG) in Kraft getreten. Für das vorliegende Verfahren gilt das bisherige Recht (vgl. Abs. 1 der Übergangsbestimmungen zur Änderung des AsylG vom 25. September 2015).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formelle Rügen erhoben, welche vorab zu beurteilen sind. So rügt der Beschwerdeführer, das SEM habe den Untersuchungsgrundsatz verletzt, indem es den eingereichten Beweismitteln jede Relevanz abgesprochen und ein vom Friedensrichter beglaubigtes Schreiben (vgl. SEM act. A12, BM 3) als blosses Gefälligkeitsschreiben qualifiziert habe. Weiter habe das SEM den Sachverhalt ungenügend abgeklärt, indem es die Asylvorbringen nicht auf ihre Asylrelevanz geprüft habe. Der Beschwerdeführer vermengt die Fragen der Feststellung des rechtserheblichen Sachverhalts und der Untersuchungspflicht mit der Frage der rechtlichen Würdigung der Sache. Allein darin, dass das SEM aus sachlichen Gründen zu einer anderen Würdigung der Gesuchsvorbringen gelangte, als vom Beschwerdeführer verlangt, liegt weder eine Verletzung der Untersuchungspflicht noch eine ungenügende oder falsche Sachverhaltsfeststellung. Die Rügen erweisen sich als unbegründet und der Antrag auf Rückweisung der Sache an die Vorinstanz zu weiteren Abklärungen und neuem Entscheid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im angefochtenen Entscheid aus, der Beschwerdeführer habe anlässlich der BzP und Anhörung unterschiedliche Angaben zu den vergrabenen Waffen gemacht und im freien Bericht der Anhörung nicht erwähnt, beim Vergraben der Waffen vom Nachbarsjungen beobachtet worden zu sein. Es sei nicht einleuchtend, dass ausgerechnet jener Junge den CID über das Waffenversteck informiert habe. Widersprüchlich geäussert habe er sich auch hinsichtlich der Geschehnisse nach der Verhaftung von D._______. Sodann seien seine Erklärungen zum Interesse des CID an vor Jahren vergrabenen Waffen weder plausibel noch aufschlussreich, sondern ausweichend und nicht überzeugend ausgefallen. Weiter seien die Flucht aus dem Flüchtlingslager, die späteren Verhöre durch den CID sowie die Pflicht zur Unterschriftsleistung nachgeschoben und nicht glaubhaft. Beim Schreiben des Vaters handle es sich lediglich um ein Gefälligkeitsschreiben, weshalb es ebenfalls nicht geeignet sei, die Vorbringen glaubhaft zu machen. Die weiteren Beweismittel seien ebenfalls nicht geeignet, die Vorbringen glaubhaft zu machen, da am Tod der Verwandten beziehungsweise deren Existenz und Tätigkeiten für die LTTE nicht gezweifelt werde. Sodann habe er weder wegen dem in der Schweiz lebenden Onkel noch wegen in Sri Lanka lebender oder verstorbener Angehöriger eine allfällige Reflexverfolgung glaubhaft gemacht. Allfällige im Zeitpunkt der Ausreise bestehende Risikofaktoren hätten nicht vermocht, ein Verfolgungsinteresse der sri-lankischen Behörden auszulösen. Es bestehe somit kein begründeter Anlass zur Annahme, dass er bei einer Rückkehr nach Sri Lanka mit beachtlicher Wahrscheinlichkeit und in absehbarer Zukunft asylrelevanten Verfolgungsmassnahmen ausgesetzt sein werde.</w:t>
      </w:r>
    </w:p>
    <w:p>
      <w:r>
        <w:rPr>
          <w:b/>
        </w:rPr>
        <w:t>E. 5.2</w:t>
      </w:r>
    </w:p>
    <w:p>
      <w:r>
        <w:t>Der Beschwerdeführer wendete in der Rechtsmittelschrift ein, seine Vorbringen seien insgesamt glaubhaft und asylrelevant. So habe er im Zusammenhang mit den versteckten Waffen nicht widersprüchlich ausgesagt; das SEM habe seine Vorbringen falsch gewürdigt. Auch betreffend die versteckten Waffen liege ein blosser Scheinwiderspruch vor. Er habe nämlich in der BzP zunächst von einer Waffe im Singular, danach von Waffen im Plural und auf Nachfrage von "insgesamt drei Stück" gesprochen. Anlässlich der Anhörung habe er dann präzisiert, dass es sich um ein Gewehr, eine Pistole und einen Munitionsgürtel gehandelt habe. Auch seine Aussagen zum Nachbarsjungen seien stimmig. So habe er bereits anlässlich der BzP angegeben, von diesem beim Verstecken der Waffen beobachtet worden zu sein. Im Rahmen der Anhörung habe er das Vorbringen dann präzisiert. Sodann habe er auch angegeben, dass es aufgrund des Privatkredits zu einem Streit mit dem Nachbarsjungen und D._______ gekommen sei. Weiter habe er auch angegeben, am Sonntag durch seinen Vater vom CID aufgefordert worden zu sein, sich am Montag im Büro einzufinden. Auch in diesem Punkt sei kein Widerspruch auszumachen. Er habe sich bei der BzP weisungsgemäss auf das Wichtigste beschränkt und deshalb nur seine Verbindung zu den LTTE sowie das fluchtauslösende Moment vorgebracht. Anlässlich der Anhörung habe er dann seine Fluchtgeschichte viel ausführlicher geschildert. Das SEM verkenne die beschränkte Aussagekraft der BzP, indem es seine Vorbringen nun als nachgeschoben bezeichne. Die eingereichten Beweismittel würden das fluchtauslösende Motiv sowie wesentliche Fakten seiner Vorbringen bestätigen. Er stamme aus dem früheren Kerngebiet der LTTE, habe für diese im Küchenbereich gedient und weise durch D._______, den Ehemann seiner Cousine, wie auch durch den in der Schweiz lebenden Onkel Verbindungen zu den LTTE auf. Er sei sodann bereits (...) in asylrelevanter Weise verfolgt worden und zum Zeitpunkt der Flucht erneut vor einer unmittelbaren Verfolgung gestanden. Er werde nach wie vor von den Sicherheitskräften gesucht. Ferner habe er dreimal an Demonstrationen gegen die sri-lankische Regierung (...) in Genf und einmal am Heldentag in Fribourg teilgenommen.</w:t>
      </w:r>
    </w:p>
    <w:p>
      <w:r>
        <w:rPr>
          <w:b/>
        </w:rPr>
        <w:t>E. 6.1</w:t>
      </w:r>
    </w:p>
    <w:p>
      <w:r>
        <w:t>Das Bundesverwaltungsgericht gelangt nach Prüfung der Akten übereinstimmend mit dem SEM zum Schluss, dass es dem Beschwerdeführer nicht gelingt, eine asylrechtlich relevante Verfolgung im Heimatstaat glaubhaft zu machen. Auch wenn der Begründung der Vorinstanz teilweise nicht gefolgt werden kann, ist die Wahrscheinlichkeit, die zu beurteilende Verfolgungsgeschichte entspreche in den wesentlichen Punkten nicht den Tatsachen, als höher zu erachten. Die Ausführungen auf Beschwerdeebene sind nicht geeignet, zu einer anderen Beurteilung zu gelangen.</w:t>
      </w:r>
    </w:p>
    <w:p>
      <w:r>
        <w:rPr>
          <w:b/>
        </w:rPr>
        <w:t>E. 6.2</w:t>
      </w:r>
    </w:p>
    <w:p>
      <w:r>
        <w:t>Der Beschwerdeführer vermag durchaus mit einzelnen Rechtsmittelvorbringen zu überzeugen. So liegt entgegen der Ansicht der Vorinstanz hinsichtlich Art und Anzahl der versteckten Waffen kein Widerspruch vor. Das SEM hat ihn anlässlich der BzP lediglich nach der Anzahl der Waffen, nicht jedoch nach deren Art gefragt ("insgesamt 3 Stück" [vgl. SEM act. A4, S. 9]). Insofern er anlässlich der Anhörung ein Gewehr, eine Pistole sowie einen Munitionsgurt erwähnte (vgl. SEM act. A11, F. 80, F. 101 ff., F. 123), erscheint es vor diesem Hintergrund nicht sachgerecht, ihm diesbezüglich einen Widerspruch vorzuhalten. Auch hinsichtlich der Kenntnis des Nachbarjungen von den versteckten Waffen vermag er grundsätzlich zu überzeugen. So brachte er anlässlich der BzP vor, der Junge habe ihn beim Verlassen des Bunkers gesehen (vgl. SEM act. A4, S. 9). Es trifft zwar zu, dass der Nachbar anlässlich der Anhörung an der chronologisch richtigen Stelle nicht explizit erwähnt wurde (vgl. SEM act. A11, F. 80 [S. 9]). Jedoch erwähnte der Beschwerdeführer an späterer Stelle und immer noch innerhalb des freien Berichtes, der Nachbarsjunge habe die Sicherheitsbehörden über das Waffenversteck informiert (vgl. SEM act. A11, F. 82 [S. 10]) und impliziert damit zumindest dessen Kenntnis von den versteckten Waffen. Sodann brachte er auf Nachfrage hin weiter vor, zwar seien seine Familie, die Cousine und ihr Ehemann sowie deren Kinder und der Nachbarsjunge beim Bunker zugegen gewesen, jedoch hätten lediglich seine Cousine und ihre Kinder das Vergraben mit eigenen Augen gesehen, während sein Vater, D._______ und der Nachbarsjunge draussen gewartet hätten (vgl. SEM act. A11, F. 108, F. 110 f.). Auch ist es ihm durchaus gelungen, die Motivation zur Denunziation - nämlich Streitigkeiten im Zusammenhang mit der Rückzahlung eines Darlehens - aufzuzeigen.</w:t>
      </w:r>
    </w:p>
    <w:p>
      <w:r>
        <w:rPr>
          <w:b/>
        </w:rPr>
        <w:t>E. 6.3</w:t>
      </w:r>
    </w:p>
    <w:p>
      <w:r>
        <w:t>Insgesamt vermag der Beschwerdeführer dennoch nicht zu überzeugen. So ist zunächst festzustellen, dass er das Vergraben der Waffen unstimmig geschildert hat. Während er bei der BzP vorbrachte, D._______ habe ihn angewiesen, die Waffen zu vergraben, führte er bei der Anhörung aus, dies sei eine spontane Reaktion von ihm gewesen, er habe das aus Hilfsbereitschaft getan (vgl. SEM act. A4 S. 7; act. A11 F. 105).</w:t>
      </w:r>
    </w:p>
    <w:p>
      <w:r>
        <w:rPr>
          <w:b/>
        </w:rPr>
        <w:t>E. 6.4</w:t>
      </w:r>
    </w:p>
    <w:p>
      <w:r>
        <w:t>Weiter ist festzustellen, dass sich der Beschwerdeführer hinsichtlich der Dauer der Inhaftierung von D._______ aufgrund der Denunziation widerspricht. So führte er anlässlich der BzP aus, D._______ sei nach dem Verhör, bei welchem dieser ihn der Wahrheit entsprechend belastet habe, wieder freigelassen worden (vgl. SEM act. A4 S.8). Bei der Anhörung brachte er hingegen vor, die Freilassung sei erst zu einem späteren Zeitpunkt, mithin nach seiner Ausreise aus Sri Lanka, erfolgt (vgl. SEM act. A11, F. 129, F. 148). Ferner ist in diesem Zusammenhang nicht vorstellbar, dass die Sicherheitsbehörden es zugelassen hätten, dass der sich in Haft befindende D._______ telefonisch den Beschwerdeführer und dessen Vater kontaktieren und diese so vor weiteren Ermittlungen hätte warnen können (SEM act. A11, F. 138 ff.). Soweit der Beschwerdeführer sodann vorbringt, die Flucht aus dem Flüchtlingslager, die Verhöre durch den CID sowie die Unterschriftsleistung seien nicht nachgeschoben, vermag er damit ebenfalls nicht zu überzeugen. Vielmehr ist anzunehmen, dass er seine Situation in Sri Lanka verschärft darstellen respektive eine Gefährdungssituation konstruieren wollte. Anlässlich der BzP wurde er aufgefordert, sämtliche Gründe für das Verlassen des Heimatlandes zu nennen. An keiner Stelle wurde er angehalten, sich kurz zu halten. Dabei hat das SEM zutreffend ausgeführt, dass es sich bei den genannten Vorkommnissen um einschneidende Erlebnisse und eigentliche Kernvorbringen der dargelegten Asylgründe handelt, weshalb - bei Wahrunterstellung - zu erwarten gewesen wäre, dass er sich an diese ohne Einschränkungen zu erinnern und sie übereinstimmend zu schildern vermocht hätte. Soweit der Beschwerdeführer schlussendlich vorbringt, das SEM habe im Zusammenhang mit den Beweismitteln die Anforderungen an die Glaubhaftmachung verletzt, vermag er nicht zu überzeugen. Das SEM hat zu Recht erwogen, dass es sich bei dem durch einen Friedensrichter bestätigten Schreiben des Vaters vom 22. Februar 2017 um ein reines Gefälligkeitsschreiben mit entsprechend geringem Beweiswert handelt (vgl. SEM act. A12, BM 3) und sich die übrigen Beweismittel auf unbestrittene Sachverhalte beziehen.</w:t>
      </w:r>
    </w:p>
    <w:p>
      <w:r>
        <w:rPr>
          <w:b/>
        </w:rPr>
        <w:t>E. 6.5</w:t>
      </w:r>
    </w:p>
    <w:p>
      <w:r>
        <w:t>Zusammengefasst vermag der Beschwerdeführer in Würdigung sämtlicher Umstände eine asylrelevante Verfolgung zum Zeitpunkt seiner Ausreise nicht glaubhaft zu machen.</w:t>
      </w:r>
    </w:p>
    <w:p>
      <w:r>
        <w:rPr>
          <w:b/>
        </w:rPr>
        <w:t>E. 6.6</w:t>
      </w:r>
    </w:p>
    <w:p>
      <w:r>
        <w:t>Die vorgebrachten exilpolitischen Tätigkeiten sind sodann als in jeder Hinsicht niederschwellig einzustufen. Der Beschwerdeführer macht geltend, an Demonstrationen gegen die sri-lankische Regierung in Genf und am Heldentag in Fribourg teilgenommen zu haben. Weder im vorinstanzlichen Verfahren noch auf Beschwerdeebene legte er indes dar, inwieweit er sich durch sein exilpolitisches Wirken derart exponiert habe, dass er bei einer Rückkehr nach Sri Lanka Furcht von einer asylrelevanten Verfolgung haben müsste. Sodann reichte er keinerlei Beweismittel zu seinem geltend gemachten exilpolitischen Engagement ein. Es liegen keine subjektiven Nachfluchtgründe vor.</w:t>
      </w:r>
    </w:p>
    <w:p>
      <w:r>
        <w:rPr>
          <w:b/>
        </w:rPr>
        <w:t>E. 6.7</w:t>
      </w:r>
    </w:p>
    <w:p>
      <w:r>
        <w:t>Zu prüfen bleibt, ob dem Beschwerdeführer trotz fehlender Vorverfolgung bei einer Rückkehr in sein Heimatland ernsthafte Nachteile im Sinne von Art. 3 AsylG drohen würden. Er führt diesbezüglich an, er stamme aus dem früheren Kerngebiet der LTTE und weise persönliche und familiäre Verbindungen zu den LTTE auf. Überdies habe er seit seiner Einreise in die Schweiz an drei Demonstrationen sowie am Heldentag in Fribourg teilgenommen. Er erfülle damit zahlreiche Risikofaktoren.</w:t>
      </w:r>
    </w:p>
    <w:p>
      <w:r>
        <w:rPr>
          <w:b/>
        </w:rPr>
        <w:t>E. 6.7.1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6.7.2</w:t>
      </w:r>
    </w:p>
    <w:p>
      <w:r>
        <w:t>Nach Auffassung des Gerichts bestehen keine stichhaltigen Gründe zur Annahme, dass der Beschwerdeführer einer der im zitierten Referenzurteil genannten Risikogruppen zuzurechnen ist. Zwar weist er tatsächlich mehrere persönliche beziehungsweise familiäre Verbindungen zu den LTTE auf. So unterstützte er im Jahr (...) auf Initiative von D._______, dem Ehemann seiner Cousine und dargelegtermassen LTTE-Mitglied im Range eines Majors, die LTTE, indem er für diese bis zum Ende des Jahres im Küchenbereich tätig war. Da seine Asylvorbringen jedoch als unglaubhaft beurteilt wurden, er kein politisches Profil aufweist und sein exilpolitisches Wirken in jeder Hinsicht höchstens als niederschwellig zu beurteilen ist, ist nicht ersichtlich, inwiefern er durch die sri-lankische Behörden zu jener kleine Gruppe gezählt wird, die bestrebt ist, den tamilischen Separatismus wiederaufleben zu lassen, und so den sri-lankischen Einheitsstaat zu gefährden. Gegenüber den Sicherheitsbehörden hat er seine Unterstützungsdienste für die LTTE nie erwähnt. Vielmehr lebte er nach Kriegsende noch über (...) Jahre weiter in Sri Lanka. Auch seine Angehörigen leben bisweilen unbehelligt in Sri Lanka (vgl. SEM act. A11, F. 45 ff.). I._______, Ehemann der Cousine J._______, sowie der Cousin K._______, beides angeblich Mitglieder der LTTE, verstarben (...) beziehungsweise im (...) und der Beschwerdeführer hatte deswegen nie Probleme. Gleiches gilt für seinen Onkel J._______ (N [...]), der zwar Asyl in der Schweiz erhielt, jedoch bereits (...) aus Sri Lanka ausgereist war. Weiter wurde der Beschwerdeführer keiner Straftat angeklagt oder verurteilt und verfügt daher auch nicht über einen Strafregistereintrag. Alleine aus der tamilischen Ethnie, der rund (...) Landesabwesenheit und seiner Narbe (...) kann er keine Gefährdung ableiten. Zudem hat er Sri Lanka über den Flughafen Colombo verlassen, wobei er sich mit seinem eigenen Reisepass ausgewiesen hat. Es kann daher ausgeschlossen werden, dass sein Name auf einer "Stop-List" aufgeführt ist. Wie bereits ausgeführt, ist sein exilpolitisches Engagement als niederschwellig einzustufen. Unter Würdigung aller Umstände ist somit nicht davon auszugehen, dass dem Beschwerdeführer im Falle einer Rückkehr nach Sri Lanka ernsthafte Nachteile im Sinne von Art. 3 AsylG drohen würden. Dies ergibt sich auch nicht aus den auf Beschwerdeebene eingereichten Dokumenten, Berichten und Länderinformationen.</w:t>
      </w:r>
    </w:p>
    <w:p>
      <w:r>
        <w:rPr>
          <w:b/>
        </w:rPr>
        <w:t>E. 6.8</w:t>
      </w:r>
    </w:p>
    <w:p>
      <w:r>
        <w:t>Zusammenfassend ist somit festzuhalten, dass das SEM zu Recht die Flüchtlingseigenschaft verneint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genannten Referenzurteil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8.3</w:t>
      </w:r>
    </w:p>
    <w:p>
      <w:r>
        <w:t>Der Vollzug der Wegweisung kann nach Art. 83 Abs. 4 AIG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dies auch unter Berücksichtigung der dortigen aktuellen Ereignisse. Das Bundesverwaltungsgericht erachtete jedoch den Wegweisungsvollzug in das Vanni-Gebiet, aus welchem der Beschwerdeführer stammt, bis zunächst als unzumutbar (vgl. BVGE 2011/24 E. 13.2.2). Im Referenzurteil D-3619/2016 vom 16. Oktober 2017 hat es die Lage im Vanni-Gebiet neu analysiert. Es ist dabei zum Schluss gekommen, dass sich die Sicherheitslage seit Ende des Bürgerkrieges merklich verbessert habe. In wirtschaftlicher Hinsicht sei die Situation zwar nach wie vor prekär. Indessen sei die Rückkehr in das Vanni-Gebiet für Personen, die dort über ein tragfähiges familiäres oder soziales Beziehungsnetz verfügen würden sowie Aussichten auf eine gesicherte Einkommens- und Wohnsituation hätten, zumutbar (vgl. Urteil a.a.O. insb. E. 9.5.9). Beim Beschwerdeführer handelt es sich um einen gesunden jungen Mann mit mehrjähriger Schulbildung und Arbeitserfahrung als (...). Sein Vater wohnt zusammen mit den (...) Schwestern in (...) C._______ und verdient seinen Lebensunterhalt als (...). Während eine Schwester die Schule bereits abgeschlossen hat, ist die andere weiterhin in Ausbildung. Es ist davon auszugehen, dass der Beschwerdeführer auf die Unterstützung seiner Verwandtschaft zählen kann, zumal auch seine Reise in die Schweiz nebst seinem Vater auch von einer Tante mütterlicherseits finanziert worden ist. Somit sind keine Anhaltspunkte ersichtlich, die darauf schliessen lassen, dass er bei einer Rückkehr in sein Heimatland in eine existenzbedrohende Situation geraten würde. Der Vollzug der Wegweisung ist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Indessen wurden mit Zwischenverfügung vom 2. November 2017 das Gesuch um unentgeltliche Prozessführung gutgeheissen. Dem Beschwerdeführer sind dementsprechend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