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D-5865/2012 vom 21. März 2013</w:t>
      </w:r>
    </w:p>
    <w:p>
      <w:r>
        <w:t>Bundesverwaltungsgericht, 2013-03-21, DE</w:t>
      </w:r>
    </w:p>
    <w:p>
      <w:r>
        <w:rPr>
          <w:b/>
        </w:rPr>
        <w:t xml:space="preserve">Quelle: </w:t>
      </w:r>
      <w:r>
        <w:t>https://mcp.opencaselaw.ch/entscheid/bvger_D-5865_2012</w:t>
      </w:r>
    </w:p>
    <w:p>
      <w:r>
        <w:t>FR: TAF D-5865/2012 du 21 mars 2013</w:t>
      </w:r>
    </w:p>
    <w:p>
      <w:r>
        <w:t>IT: TAF D-5865/2012 del 21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w:t>
      </w:r>
    </w:p>
    <w:p>
      <w:r>
        <w:t>Das BFM hat den Anspruch des Beschwerdeführers auf Behandlung des Wiedererwägungsgesuchs nicht in Abrede gestellt und ist auf das Gesuch eingetreten. Angesichts dessen, dass sich das Wiedererwägungsgesuch beziehungsweise die vorliegende Beschwerde ausschliesslich gegen den Vollzug der Wegweisung richten, hat das Bundesverwaltungsgericht in casu einzig zu prüfen, ob seit Rechtskraft der ursprünglichen vorinstanzlichen Verfügung vom 3. Dezember 2002 eine massgebende Veränderung der Sachlage besteht, die hinsichtlich des angeordneten Wegweisungsvollzugs zu einem anderen Ergebnis führen könnte.</w:t>
      </w:r>
    </w:p>
    <w:p>
      <w:r>
        <w:rPr>
          <w:b/>
        </w:rPr>
        <w:t>E. 6.1</w:t>
      </w:r>
    </w:p>
    <w:p>
      <w:r>
        <w:t>In der Beschwerde wurde insbesondere ausgeführt, die Entwicklung des Beschwerdeführers während der langjährigen und offenbar erfolgreichen Therapie rechtfertige die Erteilung einer Anwesenheitsbewilligung in der Schweiz. Ihm tue sein deliktisches Handeln aufrichtig leid. Die Rückführung in sein Heimatland würde die Bemühungen seiner Ärzte und Betreuer zweifellos zunichtemachen, wodurch Art. 3 EMRK verletzt würde. Ausserdem stelle die unbedingte, lebenslängliche Ausweisung eines als Jugendlicher straffällig gewordenen Mannes, dessen Kernfamilie in der Schweiz lebe, und der die vergangenen 17 Jahre hier verbracht habe, eine Verletzung von Art. 8 EMRK dar. Dem Beschwerdeführer sei durch den langen Aufenthalt in der Klinik B._______ und der Stiftung D._______ die Schweizer Kultur inzwischen fast näher als die türkisch/kurdische. Er spreche fliessend und akzentlos Schweizerdeutsch.</w:t>
      </w:r>
    </w:p>
    <w:p>
      <w:r>
        <w:rPr>
          <w:b/>
        </w:rPr>
        <w:t>E. 6.2</w:t>
      </w:r>
    </w:p>
    <w:p>
      <w:r>
        <w:t>Mit Eingabe vom 2. Dezember 2012 wurde im Wesentlichen auf die Zwischenverfügung des Bundesverwaltungsgerichts vom 16. November 2012 verwiesen und diesbezüglich geltend gemacht, es sei unzumutbar, einen chronisch (oder chronifiziert) paranoid Schizophrenie-Kranken ohne begleitende Massnahmen beziehungsweise ohne gesicherte Ankunftssituation im Heimatland, abgeklärte Möglichkeiten eines Klinikaufenthalts, eine geschützte Lebenssituation und ein effektives sowie geeignetes familiäres und soziales, unterstützendes Umfeld, zu repatriieren. Die Zwischenverfügung erwecke den Anschein, dass ein Schizophrenie-Kranker für seine Delinquenz, welche, wie sich erst viel später herausgestellt habe, von seiner chronisch (chronifizierten) paranoiden Schizophrenie herrühre, mit der Wegweisung bestraft würde. Eine Erklärung für das krankhafte Verhalten des Beschwerdeführers sei nunmehr erwiesen und das Gericht werde ersucht, lediglich die Zumutbarkeit im Sinne eines überwiegenden persönlichen Interesses zu prüfen. So müsse sichergestellt werden, dass der Beschwerdeführer auch tatsächlich in einer geeigneten Institution Aufnahme finde und dass für eine adäquate Medikation gesorgt sei. Es sei anzunehmen, dass er vom Moment seiner Ankunft an sich selbst überlassen sei oder allenfalls den für die Lösung seiner Probleme nicht fähigen Verwandten. Auf seine weiteren, sich in der Türkei befindlichen Familienangehörigen sei kein Verlass. Er selber sei nicht in der Lage, Hilfe und allenfalls eine geeignete Klinik zu finden, wo Aufenthalt und medikamentöse Behandlung garantiert wären. Ausserdem befinde sich sein soziales Netzwerk (Eltern und älteste Schwester) im Sinne von Art. 8 EMRK in der Schweiz und nicht in der Türkei.</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Art. 83 Abs. 7 AuG zählt in Bst. a-c die Voraussetzungen abschliessend auf, bei deren Vorliegen eine vorläufige Aufnahme nach Art. 83 Abs. 2 und 4 AuG nicht verfügt respektive - gestützt auf Art. 84 Abs. 3 AuG - eine bereits rechtskräftig angeordnete vorläufige Aufnahme aufgehoben wird und demnach die vorläufige Aufnahme nicht angeordnet respektive aufgehoben wird,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Dabei stimmen die Bestimmungen von Art. 83 Abs. 7 Bst. a und b AuG inhaltlich im Wesentlichen mit denjenigen von Art. 62 Bst. b und c AuG überein, welche die allgemeinen Voraussetzungen des Widerrufs von Bewilligungen oder anderen Verfügungen nach diesem Gesetz regeln. Von einer längerfristigen Freiheitsstrafe im Sinne von Art. 62 Bst. b AuG - und damit auch von Art. 83 Abs. 7 Bst. a AuG - ist gemäss neuerer bundesgerichtlicher Rechtsprechung bei einer Freiheitsstrafe von mehr als einem Jahr auszugehen (BGE 135 II 377 E. 4.2 und E. 4.5), dies unabhängig davon, ob die Strafe bedingt, teilbedingt oder unbedingt zu vollziehen ist (Urteil des Bundesgerichts 2C.515/2009 vom 27. Januar 2010 E. 2.1).</w:t>
      </w:r>
    </w:p>
    <w:p>
      <w:r>
        <w:rPr>
          <w:b/>
        </w:rPr>
        <w:t>E. 7.3</w:t>
      </w:r>
    </w:p>
    <w:p>
      <w:r>
        <w:t>Der Vollständigkeit halber ist darauf hinzuweisen, dass das im Wiedererwägungsgesuch vom 4. Mai 2012 zitierte ANAG per 1. Januar 2008 aufgehoben und durch das AuG ersetzt wurde. In Anwendung vonArt. 14a Abs. 4bis des aANAG konnte das BFM die vorläufige Aufnahme verfügen, sofern der Vollzug der Wegweisung für den Asylsuchenden zu einer schwerwiegenden persönlichen Notlage gemäss Art. 44 Abs. 3 des damaligen aAsylG führte. Eine schwerwiegende persönliche Notlage konnte nur vorliegen, wenn noch kein rechtskräftiger Entscheid hinsichtlich Asyl, Wegweisung und Wegweisungsvollzug ergangen war. Demnach blieb eine entsprechende Prüfung im Rahmen eines ausserordentlichen Verfahrens - insbesondere aufgrund eines Wiedererwägungsgesuchs, in welchem eine massgebliche Veränderung der Sachlage geltend gemacht wurde - von vornherein ausgeschlossen, da diesfalls die Voraussetzung, dass noch kein rechtskräftiger Entscheid ergangen war, nicht erfüllt war (vgl. Grundsatzentscheid EMARK 2001 Nr. 20 E. 3.g S. 166 f.). Wäre das ANAG beziehungsweise wären die erwähnten Gesetzesbestimmungen heute noch in Kraft, ergibt sich nach dem Gesagten, dass der vorliegend wiedererwägungsweise gestellte Antrag auf Erteilung der vorläufigen Aufnahme zwar formell korrekt wäre, das BFM darauf jedoch nicht hätte eintreten dürfen, da die Verfügung vom 3. Dezember 2002 mit Urteil vom3. Dezember 2004 in Rechtskraft erwuchs. Anzumerken bleibt, dass heute bei Beschwerden gegen Verfügungen des BFM im Verfahren vor dem Bundesverwaltungsgericht das Vorliegen einer schwerwiegenden persönlichen Notlage nicht mehr geprüft werden kann, nachdem die Bestimmungen betreffend vorläufige Aufnahme infolge einer schwerwiegenden persönlichen Notlage (insb. Art. 44 Abs. 3-5 aAsylG) nicht mehr in Kraft sind.</w:t>
      </w:r>
    </w:p>
    <w:p>
      <w:r>
        <w:rPr>
          <w:b/>
        </w:rPr>
        <w:t>E. 8</w:t>
      </w:r>
    </w:p>
    <w:p>
      <w:r>
        <w:t>Wie sich aus den folgenden Erwägungen ergibt, lässt der aktuelle Stand der Akten keine gegenüber der Situation bei Eintritt der Rechtskraft der ursprünglichen Verfügung entscheidrelevant veränderte Sachlage erkennen, welche zu einem Bleiberecht in der Schweiz führen könnte.</w:t>
      </w:r>
    </w:p>
    <w:p>
      <w:r>
        <w:rPr>
          <w:b/>
        </w:rPr>
        <w:t>E. 8.1</w:t>
      </w:r>
    </w:p>
    <w:p>
      <w:r>
        <w:t>Zunächst ist vor dem Hintergrund, wonach der Beschwerdeführer mit Urteil des Jugendgerichts C._______ vom 7. Juli 2004 des mehrfachen Raubes und Diebstahls, der Gehilfenschaft zu Vergewaltigung und Freiheitsberaubung, des Betruges, des mehrfachen betrügerischen Missbrauchs einer Datenverarbeitungsanlage, der mehrfachen Sachbeschädigung, Nötigung und Amtsanmassung sowie des wiederholten Verstosses gegen das Betäubungsmittelgesetz schuldig gesprochen und mit 35 Monaten Gefängnis bestraft wurde, festzustellen, dass das BFM eine vorläufige Aufnahme wegen Unzumutbarkeit des Wegweisungsvollzugs zu Recht nicht verfügt hat. Diesbezüglich gilt es darauf hinzuweisen, dass bereits die vormals zuständige ARK die Anwendung von Art. 14a Abs. 6 aANAG (geltendes Recht: Art. 83 Abs. 7 AuG) aufgrund des deliktischen Verhaltens des Beschwerdeführers als gerechtfertigt erachtete und infolgedessen die Anordnung einer vorläufigen Aufnahme gestützt auf Art. 14aAbs. 4 aANAG (geltendes Recht: Art. 83 Abs. 4 AuG) nicht in Betracht zog (vgl. das in Rechtskraft erwachsene Urteil vom 3. Dezember 2004,E. 12.3.).</w:t>
      </w:r>
    </w:p>
    <w:p>
      <w:r>
        <w:rPr>
          <w:b/>
        </w:rPr>
        <w:t>E. 8.2</w:t>
      </w:r>
    </w:p>
    <w:p>
      <w:r>
        <w:t>Die auf Beschwerdeebene geäusserten Einwände vermögen insgesamt zu keiner anderen Betrachtungsweise zu führen.</w:t>
      </w:r>
    </w:p>
    <w:p>
      <w:r>
        <w:rPr>
          <w:b/>
        </w:rPr>
        <w:t>E. 8.2.1</w:t>
      </w:r>
    </w:p>
    <w:p>
      <w:r>
        <w:t>Gemäss dem Jahresbericht vom 22. September 2011 und dem Arztbericht vom 6. Februar 2012 der Psychiatrischen Universitätsklinik C._______ leidet der Beschwerdeführer an einer chronisch-paranoiden Schizophrenie (ICD-10 F20.0). Diese Erkrankung ist zwar zweifellos zu bedauern, stellt jedoch selbst dann unter dem Blickwinkel von Art. 3 EMRK kein völkerrechtliches Vollzugshindernis dar, falls im Heimatland der medizinische Standard schlechter als in der Schweiz wäre, zumal die Ausweisung einer unter gesundheitlichen Beschwerden leidenden Person nur unter ganz aussergewöhnlichen Umständen eine Verletzung vonArt. 3 EMRK zur Folge hat (vgl. Urteil des Europäischen Gerichtshofs für Menschenrechte [EGMR] vom 27. Mai 2008 i.S. N. gegen Vereinigtes Königreich [Grossbritannien], Ziffn. 34, 42, 43, 44, BeschwerdeNr. 26565/05; BVGE 2009/2 E. 9.1.3; EMARK 2004 Nr. 6 E. 7 S. 40 ff.). Solche ganz aussergewöhnlichen Umstände sind in casu nicht ersichtlich, umso weniger, als die erwähnte Krankheit nicht lebensbedrohlich ist. Der Umstand, wonach es in der Türkei möglicherweise keine mit der Stiftung D._______ vergleichbare Institution gibt, spricht nach dem Gesagten nicht gegen einen Wegweisungsvollzug. Auch die während der Therapie erreichte Entwicklung des Beschwerdeführers, seine Reue und Integration vermögen an dieser Einschätzung nichts zu ändern. Im Übrigen ist darauf hinzuweisen, dass der EGMR grundsätzlich keinen durch die EMRK geschützten Anspruch auf Verbleib in einem Konventionsstaat anerkennt, um weiterhin in den Genuss medizinischer, sozialer oder anderer Formen der Unterstützung zu kommen.</w:t>
      </w:r>
    </w:p>
    <w:p>
      <w:r>
        <w:rPr>
          <w:b/>
        </w:rPr>
        <w:t>E. 8.2.2</w:t>
      </w:r>
    </w:p>
    <w:p>
      <w:r>
        <w:t>Den Akten zufolge leben noch der älteste Bruder sowie weitere Verwandte des Beschwerdeführers in der Türkei, weshalb davon auszugehen ist, er verfüge dort über ein soziales Beziehungsnetz, welches ihm bei der Wiedereingliederung behilflich sein kann. Eine Wegweisung verstösst vor diesem Hintergrund auch nicht gegen Art. 8 EMRK (Recht auf Achtung des Privat- und Familienlebens). Der Umstand, dass sich seine Eltern und die älteste Schwester in der Schweiz aufhalten, vermag an dieser Einschätzung nichts zu ändern. Nach dem Gesagten ist der Vollzug der Wegweisung sowohl im Sinne der asyl- als auch der völkerrechtlichen Bestimmungen zulässig.</w:t>
      </w:r>
    </w:p>
    <w:p>
      <w:r>
        <w:rPr>
          <w:b/>
        </w:rPr>
        <w:t>E. 8.2.3</w:t>
      </w:r>
    </w:p>
    <w:p>
      <w:r>
        <w:t>Das Bundesverwaltungsgericht hat im Grundsatzurteil BVGE 2007/32 festgehalten, die Behörde müsse bei der Anwendung vonArt. 14a Abs. 6 aANAG (geltendes Recht: Art. 83 Abs. 7 AuG) das Verhältnismässigkeitsprinzip respektieren und in Berücksichtigung aller Umstände eine Interessenabwägung vornehmen. Diesbezüglich habe sie dem privaten Interesse des Ausländers am Fortbestand der vorläufigen Aufnahme das öffentliche Interesse am Widerruf dieses Status gegenüberzustellen (vgl. a.a.O., E. 3.2 S. 386). Diese Rechtsprechung kann vorliegend analog herangezogen werden, weshalb nachfolgend im Sinne einer Zumutbarkeitsprüfung zu untersuchen ist, ob die an Art. 83 Abs. 7 AuG anknüpfende Nichtgewährung der vorläufigen Aufnahme in casueine verhältnismässige Massnahme darstellt.</w:t>
      </w:r>
    </w:p>
    <w:p>
      <w:r>
        <w:rPr>
          <w:b/>
        </w:rPr>
        <w:t>E. 8.2.3.1</w:t>
      </w:r>
    </w:p>
    <w:p>
      <w:r>
        <w:t>Vor dem Hintergrund der geltend gemachten und ärztlich bestätigten psychischen Erkrankung gilt es abzuklären, ob der Beschwerdeführer bei einer Rückkehr im Heimatland mit einer angemessenen medizinischen Versorgung rechnen kann. Den Erkenntnissen des Bundesverwaltungsgerichts zufolge ist eine Behandlung psychischer Probleme auch in der Türkei möglich. So basiert die medizinische Versorgung gerade im psychiatrischen Bereich in ausgeprägter Weise auf staatlichen Spitälern und medizinischen Einrichtungen unterschiedlicher Grösse. Die höchste medizinische Stufe, die Universitätskliniken, können grundsätzlich alle Erkrankungen behandeln. Psychiatrische "Kleinkliniken" bieten erste Konsultationen an und verschreiben Medikamente zum Gratisbezug in staatlichen Apotheken. Quartierspitäler in grösseren Städten, Regionalspitäler und Universitätskliniken verfügen über spezialisierte Abteilungen, auch für stationäre Aufenthalte. Es besteht ein Überweisungssystem. Stationäre Behandlungsmöglichkeiten (für einige Monate) bestehen auf den psychiatrischen Stationen in allgemeinen Krankenhäusern. In F._______ gibt es ein staatliches Krankenhaus mit einer psychiatrischen Abteilung. Zudem gibt es fünf so genannte "Depot-Krankenhäuser" für längerfristige und/oder stationäre Aufenthalte. Das heisst, dort werden psychisch kranke Menschen in speziellen staatlichen psychiatrischen Krankenhäusern untergebracht. Von F._______ aus befinden sich die nächstgelegenen "Depot-Krankenhäuser" in G._______, einer vom letzten Wohnsitz des Beschwerdeführers (H._______ [Provinz G._______]) nicht allzu weit entfernten Stadt, und in I._______/J._______. Die Behandlung findet vorwiegend auf einer medikamentösen Grundlage statt. Die Versorgung mit Medikamenten ist garantiert, solange die Patienten versichert sind oder selber für die Kosten aufkommen können. Zumindest in der Klinik I._______/J._______ sind auch weitergehende Therapie-Formen möglich. Was die Kostenübernahme für medizinische Behandlungen (und Medikamente) anbelangt, ist festzustellen, dass allenfalls mittellosen Personen der Erwerb einer "grünen Karte" (yesil kart) offensteht, welche zur kostenlosen Gesundheitsbehandlung berechtigt.</w:t>
      </w:r>
    </w:p>
    <w:p>
      <w:r>
        <w:rPr>
          <w:b/>
        </w:rPr>
        <w:t>E. 8.2.3.2</w:t>
      </w:r>
    </w:p>
    <w:p>
      <w:r>
        <w:t>Angesichts dieser Umstände erweist sich der Wegweisungsvollzug auch als zumutbar. Die vorliegend infrage stehende Erkrankung steht einer Wegweisung nicht entgegen. Es ist vielmehr davon auszugehen, dass eine angemessene medizinische Betreuung des Beschwerdeführers auch in der Türkei gewährleistet ist. Ausserdem hat er die Möglichkeit, nötigenfalls medizinische Rückkehrhilfe in Anspruch zu nehmen (Art. 93 Abs. 1 Bst. d AsylG i.V.m. Art. 75 der Asylverordnung 2 vom 11. August 1999 über Finanzierungsfragen [AsylV 2, SR 142.312]). Bei dieser Sachlage erübrigt es sich, das BFM zusätzlich zu verpflichten, ein klares, adäquates Konzept für die Rückführung des Beschwerdeführers vorzulegen und umzusetzen. Der entsprechende Eventualantrag wird abgelehnt.</w:t>
      </w:r>
    </w:p>
    <w:p>
      <w:r>
        <w:rPr>
          <w:b/>
        </w:rPr>
        <w:t>E. 8.2.4</w:t>
      </w:r>
    </w:p>
    <w:p>
      <w:r>
        <w:t>Zusammenfassend ist festzustellen, dass es dem Beschwerdeführer nicht gelungen ist, Gründe darzutun, weshalb die in Rechtskraft erwachsene Verfügung vom 3. Dezember 2002 in Wiedererwägung gezogen werden sollte. Die Ablehnung des Gesuchs vom 4. Mai 2012 und damit die gestützt auf Art. 17b Abs. 1 AsylG erhobene Gebühr erweisen sich infolgedessen als rechtens, weshalb der Antrag, die erstinstanzliche Verfahrensgebühr sei aufzuheben, abgewiesen wird. Vor diesem Hintergrund kann darauf verzichtet werden, auf die weiteren Ausführungen in der Beschwerde und in der Eingabe vom 2. Dezember 2012 sowie auf die Beweismittel einzugehen, da dies zu keiner anderen Betrachtungsweise führen würde.</w:t>
      </w:r>
    </w:p>
    <w:p>
      <w:r>
        <w:rPr>
          <w:b/>
        </w:rPr>
        <w:t>E. 8.2.5</w:t>
      </w:r>
    </w:p>
    <w:p>
      <w:r>
        <w:t>Abschliessend wird darauf hingewiesen, dass der Wegweisungsvollzug bis zur Entlassung des Beschwerdeführers aus dem Massnahmenvollzug sistiert bleibt (vgl. dazu Art. 70 Abs. 1 der Verordnung vom 24. Oktober 2007 über Zulassung, Aufenthalt und Erwerbstätigkeit [VZAE, SR 142.201], wonach im Falle eines Straf- oder Massnahmenvollzugs die bisherige ausländerrechtliche Bewilligung bis zur Entlassung aus dem Straf- oder Massnahmenvollzug gültig bleibt). Infolgedessen hat der Beschwerdeführer die Schweiz nach Beendigung des Massnahmenvollzugs zu verlassen. Dies trifft umso mehr zu, als sein Anwesenheitsverhältnis bereits im rechtskräftigen Urteil vom 3. Dezember 2004 negativ geregelt wurde (Nichtanordnung der vorläufigen Aufnahme).</w:t>
      </w:r>
    </w:p>
    <w:p>
      <w:r>
        <w:rPr>
          <w:b/>
        </w:rPr>
        <w:t>E. 9</w:t>
      </w:r>
    </w:p>
    <w:p>
      <w:r>
        <w:t>Aus den obenstehenden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dem Beschwerdeführer aufzuerlegen (Art. 63 Abs. 1 VwVG), auf insgesamt Fr. 1'200.- festzusetzen (Art. 1 - 3 des Reglements vom 21. Februar 2008 über die Kosten und Entschädigungen vor dem Bundesverwaltungsgericht [VGKE, SR 173.320.2]) und mit dem am 30. November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