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D-5861/2015 vom 24. September 2015</w:t>
      </w:r>
    </w:p>
    <w:p>
      <w:r>
        <w:t>Bundesverwaltungsgericht, 2015-09-24, DE</w:t>
      </w:r>
    </w:p>
    <w:p>
      <w:r>
        <w:rPr>
          <w:b/>
        </w:rPr>
        <w:t xml:space="preserve">Quelle: </w:t>
      </w:r>
      <w:r>
        <w:t>https://mcp.opencaselaw.ch/entscheid/bvger_D-5861_2015</w:t>
      </w:r>
    </w:p>
    <w:p>
      <w:r>
        <w:t>FR: TAF D-5861/2015 du 24 septembre 2015</w:t>
      </w:r>
    </w:p>
    <w:p>
      <w:r>
        <w:t>IT: TAF D-5861/2015 del 24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Vorliegend, wie nachfolgend aufgezeigt wird, handelt es sich um eine solche offensichtlich begründete Beschwerde, weshalb der Beschwerdeentscheid nur summarisch zu begründen ist (Art. 111a Abs. 2 AsylG).</w:t>
      </w:r>
    </w:p>
    <w:p>
      <w:r>
        <w:rPr>
          <w:b/>
        </w:rPr>
        <w:t>E. 2.2</w:t>
      </w:r>
    </w:p>
    <w:p>
      <w:r>
        <w:t>Auf die Durchführung eines Schriftenwechsels wurde im vorliegenden Verfahren im Sinne von Art. 111a Abs. 1 AsylG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4.2</w:t>
      </w:r>
    </w:p>
    <w:p>
      <w:r>
        <w:t>Die italienischen Behörden liessen das Übernahmeersuchen vom 3. Juli 2015 innert der in Art. 25 Abs. 1 Dublin-III-VO vorgesehenen Frist unbeantwortet, womit sie die Zuständigkeit Italiens implizit anerkannten (Art. 25 Abs. 2 Dublin-III-VO).</w:t>
      </w:r>
    </w:p>
    <w:p>
      <w:r>
        <w:rPr>
          <w:b/>
        </w:rPr>
        <w:t>E. 4.3</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rPr>
          <w:b/>
        </w:rPr>
        <w:t>E. 5.1</w:t>
      </w:r>
    </w:p>
    <w:p>
      <w:r>
        <w:t>Der in Art. 29 Abs. 2 BV garantierte und unter anderem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unter anderem die Pflicht der Behörden, die Vorbringen des vom Entscheid in seiner Rechtsstellung Betroffenen sorgfältig und ernsthaft zu prüfen und in der Entscheidfindung zu berücksichtigen, was sich auch entsprechend in der Entscheidbegründung niederschlagen muss (Art. 32 Abs. 1 und Art. 35 Abs. 1 VwVG).</w:t>
      </w:r>
    </w:p>
    <w:p>
      <w:r>
        <w:rPr>
          <w:b/>
        </w:rPr>
        <w:t>E. 5.2</w:t>
      </w:r>
    </w:p>
    <w:p>
      <w:r>
        <w:t>Einleitend ist festzuhalten, dass die Grundsätze des Anspruchs auf rechtliches Gehör auch im Dublin-Verfahren - im Sinne des Verfahrens nach Art. 20 Abs. 1 Dublin-III-VO zur Bestimmung des zuständigen Staates, das gewissermassen als in sich geschlossenes (Teil-)Verfahren des gesamten Asylverfahren gesehen werden kann (vgl. Art. 2 Bst. d Dublin-III-VO) - gelten.</w:t>
      </w:r>
    </w:p>
    <w:p>
      <w:r>
        <w:rPr>
          <w:b/>
        </w:rPr>
        <w:t>E. 5.3</w:t>
      </w:r>
    </w:p>
    <w:p>
      <w:r>
        <w:t>Die Vorinstanz unterlässt es in der angefochtenen Verfügung gänzlich auf die Vorbringen der Beschwerdeführerin einzugehen. So bleibt die geltend gemachte Beziehung zu ihrem langjährigen Lebenspartner, welche als das zentrale Sachverhaltselement - für das Dublin-Verfahren als auch für ein allfälliges nationales Asylverfahren - bezeichnet werden kann, in der Sachverhaltszusammenfassung und auch in den rechtlichen Erwägungen der Verfügung komplett unerwähnt, weshalb davon auszugehen ist, dass dieses Vorbringen von der Vorinstanz nicht sorgfältig und ernsthaft geprüft und auch in der Entscheidfindung nicht berücksichtigt worden ist. Auch im Übernahmeantrag an die italienischen Behörden war von der Partnerschaft nicht die Rede und die Beschwerdeführerin wurde als "single" bezeichnet. Die Partnerschaft wurde aber bereits seit dem ersten Kontakt der Beschwerdeführerin mit den Behörden mehrmals - auch neben ihren Vorbringen in der Befragung - in den Akten festgehalten und erscheint dementsprechend offensichtlich. Gemäss den Vorbringen der Beschwerdeführerin bestand die Lebensgemeinschaft bereits vor der Flucht im Heimatland und ist somit klarerweise als dauerhaft zu bezeichnen, weshalb der Lebenspartner gemäss Art. 2 Bst. g Dublin-III-VO als Familienangehöriger zu qualifizieren wäre und die Asylverfahren im selben Mitgliedstaat durchzuführen wären (Art. 11 Dublin-III-VO). In dem Sinne ist es für das Bundesverwaltungsgericht nicht nachvollziehbar, weshalb das Dublin-Verfahren des Lebenspartners mit Verfügung vom 25. August 2015 beendet, auf das Verfahren der Beschwerdeführerin allerdings zwei Wochen später nicht eingetreten und sie nach Italien weggewiesen wurde. Eine Erklärung dafür kann auch der angefochtenen Verfügung nicht entnommen werden, beschränkt sich diese beinahe vollständig auf Textbausteine, ohne jeglichen Bezug zu den Vorbringen der Beschwerdeführerin, weshalb neben der Pflicht der Berücksichtigung und Prüfung der Parteivorbringen im Sinne von Art. 32 Abs. 1 VwVG auch die Begründungspflicht (Art. 35 Abs. 1 VwVG) als verletzt erachtet werden muss. Mit diesem Vorgehen verletzte die Vorinstanz den verfassungsmässigen Anspruch auf rechtliches Gehör der Beschwerdeführerin.</w:t>
      </w:r>
    </w:p>
    <w:p>
      <w:r>
        <w:rPr>
          <w:b/>
        </w:rPr>
        <w:t>E. 5.4</w:t>
      </w:r>
    </w:p>
    <w:p>
      <w:r>
        <w:t>Diese festgestellten Gehörsverletzungen können nicht auf Beschwerdeebene geheilt werden, da das rechtliche Gehör einerseits bereits vor Stellung des Gesuchs an den Dublin-Staat, im Verfahren nach Art. 20 Abs. 1 Dublin-III-VO zur Bestimmung des zuständigen Mitgliedstaates, gewährt werden muss und so der Verfahrensschritt nicht nachgeholt werden kann und andrerseits eine Heilung aufgrund der ausserordentlichen Schwere der Gehörsverletzungen ohnehin ausser Betracht fällt (vgl. BVGE 2012/24 E. 3.4).</w:t>
      </w:r>
    </w:p>
    <w:p>
      <w:r>
        <w:rPr>
          <w:b/>
        </w:rPr>
        <w:t>E. 6.1</w:t>
      </w:r>
    </w:p>
    <w:p>
      <w:r>
        <w:t>Die Beschwerde ist demnach gutzuheissen. Die angefochtene Verfügung ist aufzuheben und die Sache zur Gewährung des rechtlichen Gehörs, zur vollständigen Abklärung des Sachverhaltes und zur Neubeurteilung an das SEM zurückzuweisen.</w:t>
      </w:r>
    </w:p>
    <w:p>
      <w:r>
        <w:rPr>
          <w:b/>
        </w:rPr>
        <w:t>E. 6.2</w:t>
      </w:r>
    </w:p>
    <w:p>
      <w:r>
        <w:t>Das Beschwerdeverfahren ist mit vorliegendem Urteil abgeschlossen, weshalb sich der Antrag auf Gewährung der aufschiebenden Wirkung sowie das Gesuch um Verzicht auf die Erhebung eines Kostenvorschusses als gegenstandslos erweisen.</w:t>
      </w:r>
    </w:p>
    <w:p>
      <w:r>
        <w:rPr>
          <w:b/>
        </w:rPr>
        <w:t>E. 7</w:t>
      </w:r>
    </w:p>
    <w:p>
      <w:r>
        <w:t>Bei diesem Verfahrensausgang sind keine Kosten zu erheben (Art. 63 Abs. 1 und 2 VwVG). Der Antrag auf Gewährung der unentgeltlichen Prozessführung wird mit dem vorliegenden Urteil gegenstandslos.</w:t>
      </w:r>
    </w:p>
    <w:p>
      <w:r>
        <w:rPr>
          <w:b/>
        </w:rPr>
        <w:t>E. 8</w:t>
      </w:r>
    </w:p>
    <w:p>
      <w:r>
        <w:t>Der vertretenen Beschwerdeführerin ist angesichts ihres Obsiegens in Anwendung von Art. 64 Abs. 1 VwVG und Art. 7 Abs. 1 des Reglements vom 21. Februar 2008 über die Kosten und Entschädigungen vor dem Bundesverwaltungsgericht (VGKE, SR 173.320.2) eine Entschädigung für die ihr erwachsenen notwendigen und verhältnismässig hohen 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9-13 VGKE) ist der Beschwerdeführerin zu Lasten der Vorinstanz eine Parteientschädigung von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