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D-5860/2012 vom 26. November 2012</w:t>
      </w:r>
    </w:p>
    <w:p>
      <w:r>
        <w:t>Bundesverwaltungsgericht, 2012-11-26, DE</w:t>
      </w:r>
    </w:p>
    <w:p>
      <w:r>
        <w:rPr>
          <w:b/>
        </w:rPr>
        <w:t xml:space="preserve">Quelle: </w:t>
      </w:r>
      <w:r>
        <w:t>https://mcp.opencaselaw.ch/entscheid/bvger_D-5860_2012</w:t>
      </w:r>
    </w:p>
    <w:p>
      <w:r>
        <w:t>FR: TAF D-5860/2012 du 26 novembre 2012</w:t>
      </w:r>
    </w:p>
    <w:p>
      <w:r>
        <w:t>IT: TAF D-5860/2012 del 26 novembre 2012</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vorliegend nicht der Fall ist -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(vgl. Art. 37 VGG sowie Art. 6 und 105 AsylG).</w:t>
      </w:r>
    </w:p>
    <w:p>
      <w:r>
        <w:rPr>
          <w:b/>
        </w:rPr>
        <w:t>E. 1.4</w:t>
      </w:r>
    </w:p>
    <w:p>
      <w:r>
        <w:t>Der Beschwerdeführer ist legitimiert (Art. 48 Abs. 1 VwVG) und die Eingabe vom 10. November 2012 ist als frist- und formgerecht zu erkennen (Art. 108 Abs. 1 AsylG und Art. 52 Abs. 1 VwVG), womit auf Beschwerde einzutreten ist.</w:t>
      </w:r>
    </w:p>
    <w:p>
      <w:r>
        <w:rPr>
          <w:b/>
        </w:rPr>
        <w:t>E. 1.5</w:t>
      </w:r>
    </w:p>
    <w:p>
      <w:r>
        <w:t>Die Beschwerde ist indes - wie nachfolgend aufgezeigt - als offensichtlich unbegründet zu erkennen,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w:t>
      </w:r>
    </w:p>
    <w:p>
      <w:r>
        <w:rPr>
          <w:b/>
        </w:rPr>
        <w:t>E. 3.1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w:t>
      </w:r>
    </w:p>
    <w:p>
      <w:r>
        <w:rPr>
          <w:b/>
        </w:rPr>
        <w:t>E. 3.2</w:t>
      </w:r>
    </w:p>
    <w:p>
      <w:r>
        <w:t>Der Umstand, dass das vorliegende Asylgesuch nicht bei einer schweizerischen Vertretung im Ausland gestellt, sondern direkt beim BFM eingereicht wurde, ist nicht massgeblich (vgl. dazu BVGE 2011/39 E. 3). Das BFM hat die Eingabe vom 1. Juni 2011 zu Recht als Asylgesuch aus dem Ausland entgegengenommen, woran auch deren Bezeichnung als "Gesuch um Familiennachzug" nichts ändert. Einen grundsätzlichen Man­gel des Gesuches vom 1. Juni 2011 - das Fehlen einer erkennbaren persönlichen Willensbekundung des Beschwerdeführers - wurde im Verlauf des erstinstanzlichen Verfahrens behoben, indem zuerst eine Vollmacht des Beschwerdeführers und später ein persönliches Begründungsschreiben nachgereicht wurden (vgl. dazu BVGE 2011/39 E. 4). Im Weiteren ist vor dem Hintergrund der massgeblichen Praxis zur Behandlung von Asylgesuchen aus dem Ausland und Einreisebewilligung sowie unter Berücksichtigung der Aktenlage festzustellen, dass in vorliegender Sache auf eine Befragung des Beschwerdeführers durch die schweizerische Vertretung in Addis Abeba verzichtet werden durfte und von der Vorinstanz mit der Einladung zur Stellungnahme vom 14. September 2012 den massgeblichen verfahrensrechtlichen Anforderungen Genüge getan wurde (vgl. dazu BVGE 2007/30 E. 5). Schliesslich wurde im Rahmen der Eingabe vom 6. Oktober 2012 zu dem vom Bundesamt aufgeworfenen Fragen einlässlich Stellung genommen, womit der Beschwerdeführer die Möglichkeit genutzt hat, seine Gesuchsgründe darzulegen.</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5.1</w:t>
      </w:r>
    </w:p>
    <w:p>
      <w:r>
        <w:t>Im angefochtenen Entscheid hat das BFM die vom Beschwerdeführer geltend gemachten Gesuchsgründe als mutmasslich asylrelevant erklärt, das Asylgesuch aus dem Ausland jedoch abgelehnt, da im Falle des Beschwerdeführers vom Vorliegen einer zumutbaren Schutzalternative in Äthiopien auszugehen sei, auch wenn er über einen verwandtschaftlichen Anknüpfungspunkt zur Schweiz verfüge. Der Beschwerdeführer hält dem zur Hauptsache entgegen, aufgrund der dortigen Verhältnisse für Eritreer und insbesondere seiner andauernden Pflegebedürftigkeit erweise sich Äthiopien für ihn nicht als eine zumutbare Aufenthaltsalternative. Aufgrund der Akten ist jedoch festzustellen, dass die Vorbringen des Beschwerdeführers im Resultat nicht geeignet sind, die im Wesentlichen zutreffenden Schlüsse des Bundesamtes betreffend die grundsätzliche Zumutbarkeit eines weiteren Verbleibs in Äthiopien umzustossen.</w:t>
      </w:r>
    </w:p>
    <w:p>
      <w:r>
        <w:rPr>
          <w:b/>
        </w:rPr>
        <w:t>E. 5.2</w:t>
      </w:r>
    </w:p>
    <w:p>
      <w:r>
        <w:t>In entscheidrelevanter Hinsicht ist mit dem BFM darin einig zu gehen, dass der Beschwerdeführer - auch wenn er in der Person seiner Schwester über einen persönlichen Anknüpfungspunkt zur Schweiz verfügt - nicht auf eine subsidiäre Schutzgewährung durch die Schweiz angewiesen ist (vgl. dazu Art. 52 Abs. 2 AsylG). In dieser Hinsicht ist festzuhalten, dass bei einem Asylgesuch aus einem Drittstaat nach Lehre und Praxis die (widerlegbare) Regelvermutung besteht, die betreffende Person habe dort bereits anderweitig Schutz gefunden, was zur Ablehnung des Asylgesuchs und zur Verweigerung der Einreisebewilligung führt (vgl. dazu Entscheidungen und Mittteilungen der Schweizerischen Asylrekurskommission [EMARK] 2004 Nr. 21 E. 4, mit weiteren Hinweisen). In diesem Zusammenhang weist das Bundesamt in seinem Entscheid zu Recht darauf hin, dass sich der Beschwerdeführer eigenen Angaben zufolge in Äthiopien bereits beim UNHCR angemeldet hat und demzufolge in ein Flüchtlingslager zurückkehren kann, sollte er sich an seinem derzeitigen Aufenthaltsort nicht sicher fühlen. Anlass zur Annahme, der Beschwerdeführer sei in Äthiopien etwa von einer Abschiebung in die Heimat bedroht, besteht vor diesem Hintergrund nicht. Zwar macht der Beschwerdeführer geltend, er sei weiterhin behandlungsbedürftig und die medizinische Versorgungslage im UNHCR-Lager sei ungenügend. Seine diesbezüglichen Vorbringen können indes nicht überzeugen. Zum einen darf davon ausgegangen werden, der Grundbedarf an Versorgung und Betreuung werde in den unter der Verwaltung des UNHCR stehenden Flüchtlingslagern gedeckt und eine Wundbehandlung sei dort durchaus möglich. Das UNHCR unterstützt in Äthiopien rund 60'000 eritreische Flüchtlinge und es dürfte daher entsprechend gerüstet sein. Andererseits kann nicht überzeugen, dass der Beschwerdeführer wegen seiner Beinverletzung noch heute - weit mehr als eineinhalb Jahre nach seiner Spitalbehandlung in Adis Abeba (vom 5. bis 13. Februar 2011) - Bedarf an Wundbehandlung haben sollte. Zwar hat er das Nachreichen eines diesbezüglichen Arztzeugnisses in Aussicht gestellt, auf das Einholen dieses Beweismittels kann jedoch - im Sinne einer antizipierten Beweiswürdigung - verzichtet werden (Art. 33 Abs. 1 VwVG). Seine Vorbringen im Rahmen des erstinstanzlichen Verfahrens betreffend das Fehlen von Arbeits- oder Ausbildungsmöglichkeiten vermögen den Verbleib im Äthiopien nicht als unzumutbar erscheinen zu lassen. Auf der anderen Seite lässt sein bereits über eineinhalb Jahre dauernder Aufenthalt in Addis Abeba darauf schliessen, der Beschwerdeführer habe sich schon länger in die dortigen Verhältnisse eingefügt und er sei dort nicht in seiner Existenz gefährdet. Daran vermögen auch seine Vorbringen über den angeblichen Unterstützungsentzug von Seiten einer Kirche nichts zu ändern. Schliesslich hat er nicht nur eine Schwester in der Schweiz, sondern auch eine Schwester in Äthiopien, womit er auch dort über einen naheliegenden familiären Anknüpfungspunkt verfügt. Die von seiner Schwester respektive Rechtsvertreterin geltend gemachte Sorge um sein persönliches Wohlergehen mag zwar subjektiv nachvollziehbar sein, kann aber in entscheidrelevanter Hinsicht nicht als alleine ausschlaggebend anerkannt werden.</w:t>
      </w:r>
    </w:p>
    <w:p>
      <w:r>
        <w:rPr>
          <w:b/>
        </w:rPr>
        <w:t>E. 5.3</w:t>
      </w:r>
    </w:p>
    <w:p>
      <w:r>
        <w:t>Zusammenfassend ist mit dem BFM davon auszugehen, der Beschwerdeführer sei an seinem derzeitigen Aufenthaltsort in Addis Abeba faktisch sicher und der weitere Aufenthalt in Äthiopien sei für ihn zumutbar. Unter diesen Umständen hat das BFM dem Beschwerdeführer zu Recht die Erteilung einer Einreisebewilligung verweigert und sein Asylgesuch aus dem Ausland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dem Beschwerdeführer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