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D-5856/2022 vom 5. Januar 2023</w:t>
      </w:r>
    </w:p>
    <w:p>
      <w:r>
        <w:t>Bundesverwaltungsgericht, 2023-01-05, DE</w:t>
      </w:r>
    </w:p>
    <w:p>
      <w:r>
        <w:rPr>
          <w:b/>
        </w:rPr>
        <w:t xml:space="preserve">Quelle: </w:t>
      </w:r>
      <w:r>
        <w:t>https://mcp.opencaselaw.ch/entscheid/bvger_D-5856_2022</w:t>
      </w:r>
    </w:p>
    <w:p>
      <w:r>
        <w:t>FR: TAF D-5856/2022 du 5 janvier 2023</w:t>
      </w:r>
    </w:p>
    <w:p>
      <w:r>
        <w:t>IT: TAF D-5856/2022 del 5 gennaio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und Art. 108 Abs. 1 AsylG i.V.m. Art. 10 COVID-19-Verordnung Asyl [SR 142.318]; Art. 48 Abs. 1 VwVG und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w:t>
      </w:r>
    </w:p>
    <w:p>
      <w:r>
        <w:t>D-5856/2022 Seite 5 nachfolgend aufgezeigt, handelt es sich vorliegend um eine solche, wes- halb das Urteil nur summarisch zu begründen ist (Art. 111a Abs. 2 AsylG).</w:t>
      </w:r>
    </w:p>
    <w:p>
      <w:r>
        <w:rPr>
          <w:b/>
        </w:rPr>
        <w:t>E. 3.2</w:t>
      </w:r>
    </w:p>
    <w:p>
      <w:r>
        <w:t>Gestützt auf Art. 111a Abs. 1 AsylG wurde auf einen Schriftenwechsel verzichtet.</w:t>
      </w:r>
    </w:p>
    <w:p>
      <w:r>
        <w:rPr>
          <w:b/>
        </w:rPr>
        <w:t>E. 4.1</w:t>
      </w:r>
    </w:p>
    <w:p>
      <w:r>
        <w:t>Die Beschwerdeführenden rügen sinngemäss eine unrichtige Feststel- lung des Sachverhalts verbunden mit einer Verletzung des rechtlichen Ge- hörs, des Untersuchungsgrundsatzes und des Übereinkommens vom 20. November 1989 über die Rechte des Kindes (KRK, SR 0.107) sowie eine Verletzung der Begründungspflicht. So sei das SEM auf den Umstand, dass die Angreifer direkte Verbindungen zu den Strafverfolgungsbehörden unterhalten würden, und die Beschwer- deführenden daher keinen Zugang zu wirksamem staatlichen Schutz hät- ten, nicht eingegangen respektive habe die Schutzwilligkeit und Schutzfä- higkeit zu wenig abgeklärt. Im Vollzugspunkt habe das SEM das Kindes- wohl vollkommen ausser Acht gelassen und insbesondere keine Interes- senabwägung vorgenommen. Die Kinder, insbesondere das älteste, hätten zudem angehört werden müssen und das SEM habe es unterlassen, die Traumatisierung der Kinder abzuklären.</w:t>
      </w:r>
    </w:p>
    <w:p>
      <w:r>
        <w:rPr>
          <w:b/>
        </w:rPr>
        <w:t>E. 4.2.1</w:t>
      </w:r>
    </w:p>
    <w:p>
      <w:r>
        <w:t>Der Untersuchungsgrundsatz gehört zu den allgemeinen Grundsät- zen des Asylverfahrens (vgl. Art. 12 VwVG i.V.m. Art. 6 AsylG). Demnach hat die Behörde von Amtes wegen für die richtige und vollständige Abklä- rung des rechtserheblichen Sachverhaltes zu sorgen. Sie muss die für das Verfahren notwendigen Sachverhaltsunterlagen beschaffen und die recht- lich relevanten Umstände abklären sowie ordnungsgemäss darüber Be- weis führen. Dieser Grundsatz gilt indessen nicht uneingeschränkt, son- dern findet sein Korrelat in der aus Art. 13 VwVG und Art. 8 Abs. 1 AsylG fliessenden Mitwirkungspflicht des Asylsuchenden (vgl. BVGE 2012/21 E. 5.1). Der in diesem Zusammenhang ebenfalls zu beachtende Grundsatz des rechtlichen Gehörs, der in Art. 29 Abs. 2 BV verankert und in den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(vgl. BVGE 2011/37 E. 5.4.1). Mit dem Gehörsanspruch korreliert die Pflicht der Behörden, ihre Entscheide zu begründen. Die Begründung muss dabei so</w:t>
      </w:r>
    </w:p>
    <w:p>
      <w:r>
        <w:t>D-5856/2022 Seite 6 abgefasst sein, dass sie eine sachgerechte Anfechtung ermöglicht. Nicht erforderlich ist, dass sich die Begründung mit allen Parteistandpunkten ein- lässlich auseinandersetzt und jedes einzelne Vorbringen ausdrücklich wi- derlegt (vgl. BGE 143 III 65 E. 5.2).</w:t>
      </w:r>
    </w:p>
    <w:p>
      <w:r>
        <w:rPr>
          <w:b/>
        </w:rPr>
        <w:t>E. 4.2.2</w:t>
      </w:r>
    </w:p>
    <w:p>
      <w:r>
        <w:t>Das SEM hat das Vorbringen, die staatlichen Behörden stünden un- ter dem Einfluss der Angreifer, in seine Würdigung einbezogen. Dass es trotzdem davon ausgeht, die Beschwerdeführenden hätten Zugang zu adä- quatem Schutz, beschlägt weder die Frage der Untersuchungspflicht noch diejenige der Begründungspflicht, sondern vielmehr diejenige nach der in- haltlichen Richtigkeit dieser Feststellung. Die formelle Rüge ist daher un- begründet.</w:t>
      </w:r>
    </w:p>
    <w:p>
      <w:r>
        <w:rPr>
          <w:b/>
        </w:rPr>
        <w:t>E. 4.2.3</w:t>
      </w:r>
    </w:p>
    <w:p>
      <w:r>
        <w:t>Das SEM hat die Beschwerdeführenden anlässlich der Dublin-Ge- spräche nach ihrem Gesundheitszustand gefragt und sich nach demjeni- gen ihrer Kinder erkundigt. Es hat sie zudem darauf hingewiesen, dass es wichtig sei, gesundheitliche Beschwerden beim Gesundheitsdienst ihrer Unterkunft zu melden, damit ihnen geholfen werden könne (vgl. act. 1195872-26/3 S. 2 und 1195872-28/3 S. 2). In den Anhörungen wurde der Gesundheitszustand der Beschwerdeführenden ein weiteres Mal erfragt (vgl. act. 1195872-36/14 F8 bis F19 sowie 1195872-37/15 F7 f. und F115 f.). Ferner hat das SEM die Gründe, weshalb die Arztberichte betreffend die Kinder nicht abgewartet worden seien, in der Verfügung explizit ausge- führt und stellt sich mit dieser antizipierenden Beweiswürdigung – wie nachfolgende Erwägungen zeigen werden – zu Recht auf den Standpunkt, dass der Sachverhalt liquide erstellt ist. Den Beschwerdeführenden wurde somit hinreichend Gelegenheit geboten, ihre gesundheitlichen Probleme ins Verfahren einzubringen. Eine Verletzung des Untersuchungsgrundsat- zes respektive des rechtlichen Gehörs ist daher, auch unter Berücksichti- gung der Kinderrechtskonvention, zu verneinen. Das SEM ist ferner auch seiner Begründungspflicht genügend nachgekom- men, zumal es sich mit der Situation der Kinder, namentlich dem Gesund- heitszustand, explizit auseinandergesetzt hat.</w:t>
      </w:r>
    </w:p>
    <w:p>
      <w:r>
        <w:rPr>
          <w:b/>
        </w:rPr>
        <w:t>E. 4.3.1</w:t>
      </w:r>
    </w:p>
    <w:p>
      <w:r>
        <w:t>Gemäss Art. 12 Abs. 1 KRK, welcher unmittelbar anwendbar ist (vgl. BGE 124 III 90 E. 3a), sichern die Vertragsstaaten dem Kind, das fähig ist, sich eine eigene Meinung zu bilden, das Recht zu, diese Meinung in allen das Kind berührenden Angelegenheiten frei zu äussern. Aus Art. 12 Abs. 2</w:t>
      </w:r>
    </w:p>
    <w:p>
      <w:r>
        <w:t>D-5856/2022 Seite 7 KRK fliesst die Pflicht, ein Kind in entsprechenden Gerichts- oder Verwal- tungsverfahren entweder unmittelbar oder durch einen Vertreter oder eine geeignete Stelle im Einklang mit den innerstaatlichen Verfahrensvorschrif- ten anzuhören. Eine genauere Ausgestaltung, wann ein Kind selbst ange- hört werden muss, fehlt in der Konvention jedoch und ist grundsätzlich der Umsetzung durch die Vertragsstaaten überlassen. Ob das Kind sich selbst äussern möchte, oder dies mittels Vertretung geschehen soll, soll das Kind in der Regel jedoch selbst entscheiden. Ferner betont der UN-Kinder- rechtsausschuss (Committe on the Rights of the Child – CRC) in seiner Rechtsprechung, dass die Pflicht zur Anhörung keine Altersgrenze kenne. Die Kinderrechtskonvention statuiert keinen absoluten Anspruch auf eine direkte Anhörung von Kindern, sondern sieht die Möglichkeit explizit vor, den eigenen Standpunkt mittels Vertretung einzubringen. Die Frage, wie den vom Verfahren betroffenen Kindern das rechtliche Gehör zu gewähren ist, ist folglich aufgrund der Umstände des Einzelfalles zu klären (vgl. Urteil des BVGer D-3338/2021 vom 29. Juli 2021 E. 5.2.1 m.w.H.).</w:t>
      </w:r>
    </w:p>
    <w:p>
      <w:r>
        <w:rPr>
          <w:b/>
        </w:rPr>
        <w:t>E. 4.3.2</w:t>
      </w:r>
    </w:p>
    <w:p>
      <w:r>
        <w:t>Vorliegend ist festzuhalten, dass die Kinder weder angehört noch an- gefragt worden sind, ob sie sich persönlich oder indirekt über ihre Eltern oder die Rechtsvertretung äussern möchten. Die Beschwerdeführerin und der Beschwerdeführer äusserten sich in den Befragungen jedoch explizit zur Situation der Kinder. Ferner waren die Kinder nicht nur durch ihre El- tern, sondern zusätzlich auch durch die ihnen zugewiesene Rechtsvertre- tung vertreten. Dadurch wird möglichen Interessenkonflikten zwischen den Eltern und den Kindern sowie der Gefahr einer Instrumentalisierung der Kinder durch die Eltern Abhilfe verschafft. Darüber hinaus kann aufgrund der Beiordnung eines Rechtsvertreters auch davon ausgegangen werden, dass die Interessen der Kinder hinreichend ins Verfahren eingebracht wor- den sind, zumal es zu den Aufgaben einer Rechtsvertretung gehört, sicher- zustellen, dass die für das Kindeswohl relevanten Aspekte ins Verfahren einfliessen (vgl. SCHÖNHOLZER, Das Recht auf Einbezug und Anhörung von begleiteten Kindern im Dublin Verfahren, Asyl 1/2021, S. 23). Es bestand folglich hinreichend Gewähr dafür, dass die Positionen und Interessen der Kinder Eingang ins Verfahren gefunden haben. Es ist denn auch nicht er- sichtlich, dass die Kinder einen sie betreffenden wesentlichen Sachum- stand nicht hätten geltend machen können, zumal spätestens nach der Zu- stellung des Entscheidentwurfs klar war, dass keine mündliche Anhörung der Kinder stattfinden wird, und in der Stellungnahme zum Entscheident- wurf keine zusätzlichen, die Kinder betreffenden Einwände formuliert wor- den sind. Dem Art. 12 Abs. 1 KRK, dessen Zweck in der Gewährung des rechtlichen Gehörs liegt (vgl. dazu SCHMAHL, Kinderrechtskonvention,</w:t>
      </w:r>
    </w:p>
    <w:p>
      <w:r>
        <w:t>D-5856/2022 Seite 8 Handkommentar, 2. Aufl. 2017, N 11), wurde somit genügend Rechnung getragen.</w:t>
      </w:r>
    </w:p>
    <w:p>
      <w:r>
        <w:rPr>
          <w:b/>
        </w:rPr>
        <w:t>E. 4.4</w:t>
      </w:r>
    </w:p>
    <w:p>
      <w:r>
        <w:t>Gründe für eine Aufhebung der angefochtenen Verfügung und Rück- weisung an die Vorinstanz liegen daher nicht vor.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verneinte die Flüchtlingseigenschaft der Beschwerdeführen- den im Wesentlichen mit einem Hinweis auf die Schutzfähigkeit und den Schutzwillen der tunesischen Behörden. Dagegen wendeten die Be- schwerdeführenden ein, dass sie keinen Zugang zu wirksamen Schutz- strukturen hätten, da die Angreifer über direkte Verbindungen zu Polizei und Verwaltung verfügen würden. Darüber hinaus ergebe sich aus allge- meinen Berichten, dass die Justiz unter politischen Einfluss stehe und Kor- ruption weit verbreitet sei, was der Einschätzung des SEM, es bestünden funktionierende Polizei- und Justizbehörden widerspreche. Die Verfolgung seitens der Familie erfolge aufgrund ihrer Auflehnung gegen die Tradition und sei folglich politisch motiviert und daher flüchtlingsrelevant.</w:t>
      </w:r>
    </w:p>
    <w:p>
      <w:r>
        <w:t>D-5856/2022 Seite 9</w:t>
      </w:r>
    </w:p>
    <w:p>
      <w:r>
        <w:rPr>
          <w:b/>
        </w:rPr>
        <w:t>E. 6.2</w:t>
      </w:r>
    </w:p>
    <w:p>
      <w:r>
        <w:t>Die Anerkennung der Flüchtlingseigenschaft setzt bei einer Verfolgung durch Private aufgrund der Subsidiarität des flüchtlingsrechtlichen Schut- zes unter anderem voraus, dass die betroffene Person in ihrem Heimatland keinen ausreichenden Schutz vor dieser Verfolgung finden kann. Die Fest- stellung der Flüchtlingseigenschaft setzt demnach voraus, dass entweder keine funktionierende und effiziente Schutzinfrastruktur besteht, der betref- fenden Person kein Schutz gewährt wird, obwohl der der Staat grundsätz- lich dazu in der Lage wäre, die Schutzinfrastruktur der Person nicht zu- gänglich ist oder ihr deren Inanspruchnahme nicht zugemutet werden kann (vgl. BVGE 2011/51 E. 7).</w:t>
      </w:r>
    </w:p>
    <w:p>
      <w:r>
        <w:rPr>
          <w:b/>
        </w:rPr>
        <w:t>E. 6.3</w:t>
      </w:r>
    </w:p>
    <w:p>
      <w:r>
        <w:t>Die tunesischen Behörden sind grundsätzlich willens und fähig, gegen Verfolgungshandlungen von Privaten adäquaten Schutz zu gewähren (vgl. Urteile des BVGer D-266/2021 vom 10. Februar 2021 und E-5830/2018 vom 21. August 2020 E. 7.2). Die Beschwerdeführenden vermögen diese Vermutung vorliegend nicht umzustossen. Der allgemeine Hinweis auf die in Tunesien weit verbreitete Korruption sowie der in der Beschwerde zitierte Bericht, wonach die Justiz unter einem gewissen Einfluss des Präsidenten stehe (vgl. Amnesty Inter- national, Unabhängigkeit der Justiz in Gefahr: Tunesien, 16.09.2022, &lt; https://www.amnesty.de/sites/default/files/2022-09/083_2022_DE_Tune- sien.pdf &gt;, abgerufen am 03.01.2023) vermögen nicht zu begründen, dass die tunesischen Behörden im konkreten Fall der Beschwerdeführenden keinen Schutz gewähren würden. Ferner sind auch ihren Aussagen in den Befragungen keine hinreichenden Anhaltspunkte zu entnehmen, dass ihnen die Behörden den Schutz ver- weigern würden. Einerseits ist zu bemerken, dass die Beschwerdeführerin als Grund, weshalb sie sich nicht an die Behörden gewandt hätten, nach- dem sie angegriffen worden seien, zuerst bemerkte, dass sie die Angreifer nicht gekannt und daher nichts unternommen habe (vgl. act. 1195872- 36/14, F45) und erst im späteren Verlauf angab, der eigentliche Grund sei der Einfluss ihrer Brüder gewesen (vgl. ebd. F51). Darauf angesprochen, wie sich dieser Einfluss konkret zeige, verlor sie sich in allgemeinen Aus- sagen (vgl. ebd. F52). Gleiches gilt für die Angaben des Beschwerdefüh- rers (vgl. act. 1195872-37/15 F77 bis F84). Ferner äusserten sie sich un- stimmig zu den angeblichen illegalen Tätigkeiten der Familienangehörigen der Beschwerdeführerin. So gab der Beschwerdeführer zuerst an, sie wür- den alle als Drogenkuriere arbeiten (vgl. act. 1195872-37/15 F77), und fügte danach an, sie würden allgemein als Schmuggler tätig sein und nicht</w:t>
      </w:r>
    </w:p>
    <w:p>
      <w:r>
        <w:t>D-5856/2022 Seite 10 nur Drogen, sondern auch Zigaretten, Kleider oder Benzin schmuggeln (vgl. ebd. F82), während die Beschwerdeführerin wie auch die Beschwer- deschrift einzig den Benzinschmuggel nannten (vgl. act. 1195872-36/14, F43).</w:t>
      </w:r>
    </w:p>
    <w:p>
      <w:r>
        <w:rPr>
          <w:b/>
        </w:rPr>
        <w:t>E. 6.4</w:t>
      </w:r>
    </w:p>
    <w:p>
      <w:r>
        <w:t>Die tunesischen Behörden sind bezüglich der Beschwerdeführenden somit als schutzfähig und schutzwillig zu bezeichnen. Das SEM hat somit zu Recht die Flüchtlingseigenschaft verneint und das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D-5856/2022 Seite 11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D-5856/2022 Seite 12</w:t>
      </w:r>
    </w:p>
    <w:p>
      <w:r>
        <w:rPr>
          <w:b/>
        </w:rPr>
        <w:t>E. 8.5</w:t>
      </w:r>
    </w:p>
    <w:p>
      <w:r>
        <w:t>Die Vorinstanz erachtete den Vollzug der Wegweisung zu Recht für zu- mutbar. Dabei ist eingangs darauf hinzuweisen, dass bei einem Wegwei- sungsvollzug nach Tunesien grundsätzlich keine besonders begünstigen- den Faktoren vorliegen müssen. Hinsichtlich der medizinischen Probleme ist zu bemerken, dass Tunesien über eine hinreichende medizinische Inf- rastruktur verfügt (vgl. Urteil des BVGer D-266/2021 vom 10. Februar 2021) und die Sprachstörung eines der Kinder gemäss Angaben der Be- schwerdeführenden bereits mit gewissen Erfolg in Tunesien behandelt wurde (vgl. act. 1195872-36/14 F11 bis F16). Nach dem Gesagten erweist sich der Vollzug der Wegweisung – auch unter Berücksichtigung des Kindeswohls – als zumutbar.</w:t>
      </w:r>
    </w:p>
    <w:p>
      <w:r>
        <w:rPr>
          <w:b/>
        </w:rPr>
        <w:t>E. 8.6</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Gewährung der unentgeltlichen Prozessführung ge- mäss Art. 65 Abs. 1 VwVG ist angesichts der Aussichtslosigkeit der Be- schwerdebegehren abzuweisen.</w:t>
      </w:r>
    </w:p>
    <w:p>
      <w:r>
        <w:rPr>
          <w:b/>
        </w:rPr>
        <w:t>E. 10.2</w:t>
      </w:r>
    </w:p>
    <w:p>
      <w:r>
        <w:t>Die Kosten des Verfahrens sind folglich den Beschwerdeführenden aufzuerlegen (Art. 63 Abs. 1 VwVG) und auf insgesamt Fr. 750.– festzuset- zen (Art. 1–3 des Reglements vom 21. Februar 2008 über die Kosten und Entschädigungen vor dem Bundesverwaltungsgericht [VGKE, SR 173.320.2]). (Dispositiv nächste Seite)</w:t>
      </w:r>
    </w:p>
    <w:p>
      <w:r>
        <w:t>D-5856/2022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