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D-5847/2011 vom 26. Oktober 2012</w:t>
      </w:r>
    </w:p>
    <w:p>
      <w:r>
        <w:t>Bundesverwaltungsgericht, 2012-10-26, DE</w:t>
      </w:r>
    </w:p>
    <w:p>
      <w:r>
        <w:rPr>
          <w:b/>
        </w:rPr>
        <w:t xml:space="preserve">Quelle: </w:t>
      </w:r>
      <w:r>
        <w:t>https://mcp.opencaselaw.ch/entscheid/bvger_D-5847_2011</w:t>
      </w:r>
    </w:p>
    <w:p>
      <w:r>
        <w:t>FR: TAF D-5847/2011 du 26 octobre 2012</w:t>
      </w:r>
    </w:p>
    <w:p>
      <w:r>
        <w:t>IT: TAF D-5847/2011 del 26 ottobre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form- und fristgerecht eingereicht. Der Beschwer­de­führer ist durch die angefochtenen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sowie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Nachdem die Verfügung des BFM vom 29. März 2010 unangefochten in Rechtskraft erwuchs, steht fest, dass die Überprüfung der vom Beschwer­deführer geltend gemachten Asylgründe nicht mehr Gegenstand dieses Be­schwerdeverfahrens bildet. Hingegen fliesst die Feststellung des BFM in der erwähnten Verfügung, die vom der Beschwerdeführer geltend ge­machten Vorbringen hielten den Anforderungen an die Flüchtlingseigen­schaft gemäss Art. 3 AsylG nicht stand, in die nachfolgenden Erwägun­gen hinsichtlich des Wegweisungsvollzugs - insbesondere mit Bezug auf die Frage der Unzulässigkeit - mit ein.</w:t>
      </w:r>
    </w:p>
    <w:p>
      <w:r>
        <w:rPr>
          <w:b/>
        </w:rPr>
        <w:t>E. 4</w:t>
      </w:r>
    </w:p>
    <w:p>
      <w:r>
        <w:t>Die gerügten Gehörsverletzungen können den Akten nicht entnommen wer­den. Das BFM hat in der angefochtenen Verfügung entgegen den Be­schwerdevorbringen nicht erwogen, dem Beschwerdeführer stehe offen, sich auch in C._______ niederzulassen. Demnach erübrigte sich auch eine entsprechende Begründung. Im Weiteren hat das BFM im Hinblick auf die Zulässigkeit des Wegweisungsvollzugs diese mit nachvollziehbaren und grundsätzlich zutreffenden Erwägungen bejaht (vgl. dazu untenstehend E. 5). Die Behauptung des Beschwerdeführers, das BFM habe den Sachver­halt ungenügend respektive falsch festgestellt und überdies die Be­gründungspflicht verletzt, erweist sich mithin als unzutreffend, weshalb der Antrag auf Rückweisung der Sache an die Vorinstanz abzuweisen ist.</w:t>
      </w:r>
    </w:p>
    <w:p>
      <w:r>
        <w:rPr>
          <w:b/>
        </w:rPr>
        <w:t>E. 5</w:t>
      </w:r>
    </w:p>
    <w:p>
      <w:r>
        <w:t>Die vorläufige Aufnahme ist eine Ersatzmassnahme für den nicht durchführ­baren Vollzug der Wegweisung. Gemäss Art. 83 Abs. 1 AuG ist die vorläufige Aufnahme zu verfügen, wenn der Vollzug der Wegweisung nicht zulässig, nicht zumutbar oder nicht möglich ist.</w:t>
      </w:r>
    </w:p>
    <w:p>
      <w:r>
        <w:rPr>
          <w:b/>
        </w:rPr>
        <w:t>E. 5.1</w:t>
      </w:r>
    </w:p>
    <w:p>
      <w:r>
        <w:t>Gemäss Art. 84 Abs. 1 AuG überprüft das BFM periodisch, ob die Vor­aussetzungen für die vorläufige Aufnahme noch gegeben sind. Sind die Vor­aussetzungen nicht mehr gegeben,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in den Herkunftsstaat oder in einen Dritt­staat zu begeben (Art. 83 Abs. 2 - 4 AuG).</w:t>
      </w:r>
    </w:p>
    <w:p>
      <w:r>
        <w:rPr>
          <w:b/>
        </w:rPr>
        <w:t>E. 5.2.1</w:t>
      </w:r>
    </w:p>
    <w:p>
      <w:r>
        <w:t>Mit Verfügung vom 29. März 2010 stellte das BFM rechtskräftig fest, dass der Beschwerdeführer die Flüchtlingseigenschaft nicht erfülle. Daher findet das in Art. 33 Abs. 1 des Abkommens vom 28. Juli 1951 über die Rechtsstellung der Flüchtlinge (FK, SR 0.142.30) und Art. 5 AsylG veran­kerte flüchtlingsrechtliche Refoulementverbot im vorliegenden Verfahren keine Anwendung.</w:t>
      </w:r>
    </w:p>
    <w:p>
      <w:r>
        <w:rPr>
          <w:b/>
        </w:rPr>
        <w:t>E. 5.2.2</w:t>
      </w:r>
    </w:p>
    <w:p>
      <w:r>
        <w:t>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Gemäss Rechtsprechung des Europäi­schen Gerichtshofes für Menschenrechte (EGMR) muss aufgrund der Ge­fahr einer Kettenabschiebung in Verletzung des Refoulement-Verbotes dann von der Abschiebung einer Person in einen Drittstaat abgesehen wer­den, wenn gewichtige Gründe dafür vorliegen, dass eine tatsächliche Gefahr ("real risk") einer Verletzung von Art. 3 EMRK besteht (EGMR, Saadi gegen Italien, Urteil vom 28. Februar 2008, Beschwerde-Nr. 37201/06, § 125). In diesen Fällen ist der Vollzug der Wegweisung un­zulässig.</w:t>
      </w:r>
    </w:p>
    <w:p>
      <w:r>
        <w:rPr>
          <w:b/>
        </w:rPr>
        <w:t>E. 5.2.3</w:t>
      </w:r>
    </w:p>
    <w:p>
      <w:r>
        <w:t>Der Beschwerdeführer macht geltend, vor der Ausreise durch ihm un­bekannte Personen verfolgt und misshandelt worden zu sein. Abgese­hen davon, dass seine Vorbringen anlässlich der Anhörung kaum als hinrei­chend substanziiert gewertet werden können (das BFM unterliess eine entsprechende Prüfung im Hinblick auf die Glaubhaftigkeit), stellte die Vorinstanz in ihrer Verfügung vom 29. März 2010 fest, die Asylvorbrin­gen des Beschwerdeführers hielten den Anforderungen an die Flüchtlingsei­genschaft gemäss Art. 3 AsylG nicht stand, da er sich schutzsu­chend an die Behörden wenden könne. Diese Qualifikation blieb unangefochten. Soweit der Beschwerdeführer in der Stellungahme vom 16. August 2011 und in der Rechtsmittelschrift vor­bringt, bei den Verfolgern handle es sich mutmasslich um Angehörige der EPDP, ist auf die zutreffende vorinstanzliche Vernehmlassung hinzuwei­sen. Das BFM hält fest, er habe im vormaligen Verfahren keine An­gaben zu den Verfolgern machen können. Zudem fehlten Belege für die angebliche Zugehörigkeit der Angreifer zur EPDP; auch mache er keine Gründe geltend, welche seine Annahme, dass es sich tatsächlich um EPDP-Mitglieder gehandelt habe, stützen würden. Es sei deshalb von ei­nem konstruierten Vorbringen auszugehen, welches sein persönliches Ri­sikoprofil entgegen der tatsächlichen Lage erhöhen würde. Den Akten seien keine Hinweise zu entnehmen, wonach er tatsächlich durch eine mili­tante Gruppierung bedroht werde beziehungsweise worden sei. Er könne sich daher an die heimatlichen Behörden wenden, um Schutz vor Verfolgung Dritter zu erlangen. Diese vor­instanzliche Sichtweise wird durch die nicht stichhaltigen Beschwerdevorbringen beziehungsweise die nicht überzeugende Replik nicht widerlegt. Entsprechend bestehen keine hinreichenden Anhaltspunkte dafür, dem Beschwerdeführer drohe in Sri Lanka deswegen aktuell eine menschenrechtswidrige Behandlung.</w:t>
      </w:r>
    </w:p>
    <w:p>
      <w:r>
        <w:rPr>
          <w:b/>
        </w:rPr>
        <w:t>E. 5.2.4</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5.2.5</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5.2.6</w:t>
      </w:r>
    </w:p>
    <w:p>
      <w:r>
        <w:t>Eine entsprechende konkrete Gefahr, die dem Beschwerdeführer dro­hen könnte, ergibt sich vorliegend jedoch nicht. So macht er weder ein politisches Engagement noch Schwierigkeiten mit den Behörden geltend. Das Heimatland hat er offenbar legal verlassen. Im Zusammenhang mit all­fälligen Drohungen krimineller Dritter wurde bereits auf die Möglichkeit staatlichen Schutzes hingewiesen. Dass bei abgewiesenen Asylsuchen­den bei der Wiedereinreise eine gewisse Gefährdung im Sinne der Be­schwer­devor­bringen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Familienangehörige weiter­hin in Sri Lanka, ohne dass der Beschwerdeführer geltend macht, diese würden polizeilich behelligt.</w:t>
      </w:r>
    </w:p>
    <w:p>
      <w:r>
        <w:rPr>
          <w:b/>
        </w:rPr>
        <w:t>E. 5.2.7</w:t>
      </w:r>
    </w:p>
    <w:p>
      <w:r>
        <w:t>Die allgemeine Menschenrechtssituation in Sri Lanka respektive im Norden des Landes und die diesbezüglich eingereichten Beweismittel las­sen den Wegweisungsvollzug zum heutigen Zeitpunkt entgegen den we­nig stich­halti­gen Beschwerdevorbringen ebenfalls nicht als unzulässig er­scheinen. Nach dem Gesagten ist der Vollzug der Weg­weisung im Sinne der völkerrechtlichen Bestim­mungen zulässig.</w:t>
      </w:r>
    </w:p>
    <w:p>
      <w:r>
        <w:rPr>
          <w:b/>
        </w:rPr>
        <w:t>E. 5.3</w:t>
      </w:r>
    </w:p>
    <w:p>
      <w:r>
        <w:t>Nach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auf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(BVGE 2009/52 E. 10.1, BVGE 2009/51 E. 5.5).</w:t>
      </w:r>
    </w:p>
    <w:p>
      <w:r>
        <w:rPr>
          <w:b/>
        </w:rPr>
        <w:t>E. 5.3.1</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C._______, ist grundsätzlich zumutbar (BVGE 2011/24 E. 13).</w:t>
      </w:r>
    </w:p>
    <w:p>
      <w:r>
        <w:rPr>
          <w:b/>
        </w:rPr>
        <w:t>E. 5.3.2</w:t>
      </w:r>
    </w:p>
    <w:p>
      <w:r>
        <w:t>Der Beschwerdeführer stammt aus B._______, einem Ort, der ausserhalb des Vanni-Gebietes liegt. Er verbrachte sein ganzes Le­ben dort, und seine Eltern sowie ein Bruder wohnen heute noch dort. Auch wenn man im Sinne der Replikvorbringen von einer Beeinträchti­gung des landwirtschaftlichen Betriebs der Familie ausgeht, bestehen offen­bar nach wie vor gewisse Einkünfte und eine Wohnmöglichkeit. Der Be­schwerdeführer verfügt über eine Schulbildung und Arbeitserfahrung in verschiedenen Bereichen. Wegen medizinischer Beschwerden nahm er den Akten zufolge vor der Ausreise ärztliche Hilfe in Anspruch (vgl. A 10/15 Antworten 123 ff.). Dass er nach wie vor auf eine solche angewie­sen ist, muss insofern verneint werden, als er nicht vorbringt, in der Schweiz aktuell in Behandlung zu stehen. Abgesehen davon verweist das BFM in der Vernehmlassung zu Recht auf Behandlungsmöglichkeiten vor Ort. Entgegen den Beschwerdevorbringen kommt sodann auch eine Unter­stützung durch Verwandte aus der Schweiz in Betracht (vgl. A 3/5). Schliesslich ist auf die Möglichkeit der Rückkehrhilfe hinzuweisen. Ins­ge­samt ist mithin nicht davon auszugehen, der Beschwerdeführer könnte vor Ort in eine existenzgefährdende Situation geraten. Damit ist der Weg­wei­sungsvollzug zumutbar.</w:t>
      </w:r>
    </w:p>
    <w:p>
      <w:r>
        <w:rPr>
          <w:b/>
        </w:rPr>
        <w:t>E. 5.4</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5.5</w:t>
      </w:r>
    </w:p>
    <w:p>
      <w:r>
        <w:t>Zusammenfassend hat die Vorinstanz den Wegweisungsvollzug zu Recht als zulässig, zumutbar und möglich erachtet und die vorläufigen Auf­nahme aufgehoben.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7</w:t>
      </w:r>
    </w:p>
    <w:p>
      <w:r>
        <w:t>Bei diesem Ausgang des Verfahrens sind die Kosten dem Beschwerdefüh­rer aufzuerlegen (Art. 63 Abs. 1 VwVG; Art. 1 - 3 des Regle­ments vom 21. Februar 2008 über die Kosten und Entschädigungen vor dem Bundesverwaltungsgericht [VGKE, SR 173.320.2]). Da er keine Bestätigung für die Bedürftigkeit beigebracht hat und offenbar über eine Ar­beitsstelle verfügt, ist das Gesuch im Sinne von Art. 65 Abs. 1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