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D-5845/2012 vom 29. November 2012</w:t>
      </w:r>
    </w:p>
    <w:p>
      <w:r>
        <w:t>Bundesverwaltungsgericht, 2012-11-29, DE</w:t>
      </w:r>
    </w:p>
    <w:p>
      <w:r>
        <w:rPr>
          <w:b/>
        </w:rPr>
        <w:t xml:space="preserve">Quelle: </w:t>
      </w:r>
      <w:r>
        <w:t>https://mcp.opencaselaw.ch/entscheid/bvger_D-5845_2012</w:t>
      </w:r>
    </w:p>
    <w:p>
      <w:r>
        <w:t>FR: TAF D-5845/2012 du 29 novembre 2012</w:t>
      </w:r>
    </w:p>
    <w:p>
      <w:r>
        <w:t>IT: TAF D-5845/2012 del 29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Gemäss der Übergangsbestimmung des Bundesgesetzes vom 28. Sept. 2012 (Dringliche Änderungen des Asylgesetzes), in Kraft seit 29. September 2012 (AS 2012 5359), gelten für Asylgesuche, die im Ausland vor dem Inkrafttreten der Änderung vom 28. September 2012 gestellt worden sind, die Artikel 12, 19, 20, 41 Absatz 2, 52 und 68 in der bisherigen Fassung des AsylG.</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4.2</w:t>
      </w:r>
    </w:p>
    <w:p>
      <w:r>
        <w:t>Gestützt auf Art. 111a Abs. 1 AsylG wurde auf die Durchführung eines Schriftenwechsels verzichtet.</w:t>
      </w:r>
    </w:p>
    <w:p>
      <w:r>
        <w:rPr>
          <w:b/>
        </w:rPr>
        <w:t>E. 5.1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5.2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Aufgrund der Angaben des Beschwerdeführers, wonach er im Januar 2009 aus der eritreischen Armee desertiert sei, ist mit Blick auf die drastischen staatlichen Sanktionen gegenüber Deserteuren, mit denen er im Falle der Rückkehr in die Heimat zu rechnen hat (vgl. Entscheidungen und Mitteilungen der Schweizerischen Asylrekurskommission [EMARK] 2006 Nr. 3 E. 4.6 - 4.10 S. 35 ff.) übereinstimmend mit der Vorinstanz davon auszugehen, dass seine diesbezüglichen Vorbringen im Sinne von Art. 3 Abs. 2 AsylG asylrechtlich relevant sind.</w:t>
      </w:r>
    </w:p>
    <w:p>
      <w:r>
        <w:rPr>
          <w:b/>
        </w:rPr>
        <w:t>E. 6.2</w:t>
      </w:r>
    </w:p>
    <w:p>
      <w:r>
        <w:t>In Bezug auf die Frage, ob es dem Beschwerdeführer zugemutet werden kann, sich in einem anderen Drittstaat um Aufnahme zu bemühen (Art. 20 Abs. 2 und Art. 52 Abs. 2 AsylG), ergibt die Überprüfung der Akten, dass sich die diesbezüglichen Erwägungen in der angefochtenen Verfügung (vgl. Sachverhalt Bst. G) als zutreffend erweisen. Der Beschwerdeführer ist erstmals im Januar 2009 aus Eritrea in den Sudan eingereist und anfangs des Jahres 2011 aus Libyen wieder dorthin zurückgekehrt. Er äussert nun auf Beschwerdeebene die Befürchtung, er könnte bei einer Zuweisung ins Flüchtlingslager G._______, das nahe der eritreischen Grenze gelegen sei, möglicherweise durch im Grenzgebiet operierende Einheiten des eritreischen Geheimdienstes aufgegriffen und nach Eritrea verschleppt werden. Es ist im Sudan zwar in der Tat in vereinzelten Fällen zu Entführungen beziehungsweise zu Deportationen von eritreischen Flüchtlingen nach Eritrea gekommen. Wie indessen das BFM in seiner Verfügung vom 9. Oktober 2012 übereinstimmend mit der Praxis des Bundesverwaltungsgerichts erwogen hat, ist gemäss gesicherten Erkenntnissen das Risiko einer Deportation oder Verschleppung für Eritreer, die im Sudan vom UNHCR als Flüchtlinge anerkannt sind, gering (vgl. statt vieler Urteile E-4417/2011 vom 9. Februar 2012 E. 6.5.3 und D-5745/2011 vom 10. Januar 2012 E. 6.1). Im Weiteren weist der Beschwerdeführer als einfacher Deserteur kein Profil auf, welches ihn mit erheblicher Wahrscheinlichkeit zum Ziel eines Entführungsversuchs seitens der eritreischen Behörden machen würde. Soweit der Beschwerdeführer geltend macht, er habe in Khartum grosse wirtschaftliche Schwierigkeiten gehabt, weil er nicht habe arbeiten dürfen, ist darauf hinzuweisen, dass er es den Akten zufolge vorgezogen hat, sich in Khartum ausserhalb eines Flüchtlingslagers aufzuhalten. Es ist ihm jedoch grundsätzlich zuzumuten, sich im Sudan als Flüchtling registrieren zu lassen und alsdann Zuflucht in dem ihm zugewiesenen Flüchtlingslager zu suchen. Schliesslich vermag auch der Umstand, dass die Schwester des Beschwerdeführers in der Schweiz lebt, keinen derart gewichtigen Anknüpfungspunkt darzustellen, dass eine Abwägung der Gesamtumstände im Sinne von Art. 52 Abs. 2 AsylG dazu führen müsste, dass es gerade die Schweiz ist, die ihm den erforderlichen Schutz gewähren soll.</w:t>
      </w:r>
    </w:p>
    <w:p>
      <w:r>
        <w:rPr>
          <w:b/>
        </w:rPr>
        <w:t>E. 6.3</w:t>
      </w:r>
    </w:p>
    <w:p>
      <w:r>
        <w:t>Zusammenfassend ergibt sich, dass die angefochtene Verfügung Bundesrecht nicht verletzt, den rechtserheblichen Sachverhalt richtig und vollständig feststellt und angemessen ist (Art. 106 Abs. 1 AsylG). Das BFM hat das Asylgesuch des Beschwerdeführers aus dem Ausland zu Recht abgelehnt und ihm die Einreise in die Schweiz verweigert. Die Beschwerde ist deshalb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