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D-5843/2015 vom 31. Mai 2017</w:t>
      </w:r>
    </w:p>
    <w:p>
      <w:r>
        <w:t>Bundesverwaltungsgericht, 2017-05-31, DE</w:t>
      </w:r>
    </w:p>
    <w:p>
      <w:r>
        <w:rPr>
          <w:b/>
        </w:rPr>
        <w:t xml:space="preserve">Quelle: </w:t>
      </w:r>
      <w:r>
        <w:t>https://mcp.opencaselaw.ch/entscheid/bvger_D-5843_2015</w:t>
      </w:r>
    </w:p>
    <w:p>
      <w:r>
        <w:t>FR: TAF D-5843/2015 du 31 mai 2017</w:t>
      </w:r>
    </w:p>
    <w:p>
      <w:r>
        <w:t>IT: TAF D-5843/2015 del 31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51 Abs. 1 AsylG werden Ehegatten von Flüchtlingen und deren minderjährige Kinder als Flüchtlinge anerkannt und erhalten Asyl, sofern keine besonderen Umstände dagegen sprechen. 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Entscheidungen und Mitteilungen der Schweizerischen Asylrekurskommission [EMARK] 2006 Nr. 7 E. 5.4. und 6.1.). Massgeblicher Zeitpunkt für die Beurteilung ist derjenige des Asyl- beziehungsweise Beschwerdeentschei-des. Der Prüfung eines derivativen Anspruchs auf Anerkennung als Flücht-ling im Sinne von Art. 51 AsylG geht die Prüfung der originären Flüchtlings-eigenschaft nach Art. 3 AsylG vor (Art. 37 der Asylverordnung 1 vom 11. August 1999 [AsylV 1, SR 142.311].</w:t>
      </w:r>
    </w:p>
    <w:p>
      <w:r>
        <w:rPr>
          <w:b/>
        </w:rPr>
        <w:t>E. 4.1</w:t>
      </w:r>
    </w:p>
    <w:p>
      <w:r>
        <w:t>Die Vorinstanz führt in der angefochtenen Verfügung aus, die Be-schwerdeführerin leite ihr Vorbringen aus den für unglaubhaft befundenen Vorbringen ihres Ehemannes ab, was diesen jegliche Grundlage entziehe. Zwar könne nicht ausgeschlossen werden, dass sie aufgrund eines schwerwiegenden Ereignisses ein Trauma erlitten habe, allerdings nicht aufgrund des geltend Gemachten. Daran könne auch der eingereichte Arztbericht nichts ändern, zumal die Beurteilung der Glaubhaftigkeit von Asylvorbringen weder die Aufgabe noch das Fachgebiet von medizinischen Sachverständigen sei.</w:t>
      </w:r>
    </w:p>
    <w:p>
      <w:r>
        <w:rPr>
          <w:b/>
        </w:rPr>
        <w:t>E. 4.2</w:t>
      </w:r>
    </w:p>
    <w:p>
      <w:r>
        <w:t>In der Beschwerdeeingabe vom 18. März 2015 wird eine Verletzung der Begründungspflicht nach Art. 32 Abs. VwVG und Art. 35 Abs. 1 VwVG - einem Teilgehalt des Anspruchs auf rechtliches Gehör nach Art. 29 Abs. 2 BV - durch die Vorinstanz gerügt. Das Staatssekretariat sei in der angefochten Verfügung nicht auf die Vorbringen der Beschwerdeführerin eingegangen und habe diese auch nicht im Sinne einer Gesamtwürdigung im Verfahren ihres Ehemannes berücksichtigt, wodurch den Beschwerde-führenden eine sachgerechte Anfechtung des Entscheides verunmöglicht worden sei. Im Zusammenhang mit der geltend gemachten Vergewaltigung habe es die Vorinstanz unterlassen, diese bei ihrer Entscheidfindung ge-bührend zu berücksichtigen oder - bei Zweifeln an der Glaubhaftigkeit der-selben - weitere Abklärungen zur Sachverhaltsermittlung zu tätigen. Die eigentliche Vergewaltigung sei vorliegend nicht thematisiert worden, obschon die Beschwerdeführerin anlässlich der Anhörung (und auch im gegenwärtigen Zeitpunkt) zu weiteren Angaben im fraglichen Zusammen-hang bereit gewesen wäre. Aufgrund der unvollständigen Abklärung des rechtserheblichen Sachverhaltes sei die Sache deshalb an die Vorinstanz zur vertieften Abklärung zurückzuweisen. Nebst der unvollständigen Sachverhaltsabklärung gelte es aber auch festzuhalten, dass die Vorinstanz durch eine zu restriktive Handhabung der Beweisregel den herabgesetzten Beweisanforderungen gemäss Art. 7 AsylG nicht hinreichend Rechnung getragen habe. Vorliegend überwögen die glaubhaften Aussagen der Beschwerdeführerin allfällige Unstimmig-keiten und die Glaubhaftigkeit ihrer Vorbringen sei bei einer Gesamtbe-trachtung ihrer Aussagen sowie jener ihres Ehemannes insgesamt zu be-jahen. Die Beschwerdeführerin habe nachgewiesen beziehungsweise glaubhaft gemacht, dass sie in ihrem Heimatland wegen der politischen Anschauungen ihres Ehemannes an Leib und Leben gefährdet sei und die Flüchtlingseigenschaft nach Art. 3 AsylG erfülle. Mangels Asylausschluss-gründe sei ihr Asyl zu gewähren.</w:t>
      </w:r>
    </w:p>
    <w:p>
      <w:r>
        <w:rPr>
          <w:b/>
        </w:rPr>
        <w:t>E. 5</w:t>
      </w:r>
    </w:p>
    <w:p>
      <w:r>
        <w:t>Die Beschwerdeführenden rügen vorab eine nicht vollständige bezie-hungsweise nicht richtige Abklärung des rechtserheblichen Sachverhalts sowie eine Verletzung der Begründungspflicht.</w:t>
      </w:r>
    </w:p>
    <w:p>
      <w:r>
        <w:rPr>
          <w:b/>
        </w:rPr>
        <w:t>E. 5.1</w:t>
      </w:r>
    </w:p>
    <w:p>
      <w:r>
        <w:t>Der Grundsatz des rechtlichen Gehörs beinhaltet die Pflicht der Behörden, die Vorbringen der vom Entscheid in ihrer Rechtsstellung Betroffenen sorgfältig und ernsthaft zu prüfen und in der Entscheidfindung zu berücksichtigen (Art. 32 Abs. 1 VwVG). Daraus folgt die grundsätzliche Pflicht der Behörden, sich mit den wesentlichen Vorbringen der Rechts-suchenden zu befassen und Entscheide zu begründen (Art. 35 Abs. 1 VwVG). Die Begründung eines Entscheids muss so abgefasst sein, dass die Betroffene ihn sachgerecht anfechten kann. Es müssen die Überlegungen kurz genannt werden, von denen sich die Behörde leiten liess und auf die sie ihren Entscheid stützt (vgl. BVGE 2009/35 E. 6.4.1). 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der Asylsuchenden (vgl. Art. 8 AsylG).</w:t>
      </w:r>
    </w:p>
    <w:p>
      <w:r>
        <w:rPr>
          <w:b/>
        </w:rPr>
        <w:t>E. 5.2</w:t>
      </w:r>
    </w:p>
    <w:p>
      <w:r>
        <w:t>Beschwerden gegen Verfügungen des SEM über die Verweigerung des Asyls beziehungsweise die Verneinung der Flüchtlingseigenschaft und die Wegweisung haben grundsätzlich reformatorischen und nur ausnahms-weise kassatorischen Charakter (Art. 105 AsylG sowie Art. 6 AsylG i.V.m. Art. 61 Abs. 1 VwVG). Reformatorische Entscheidung setzt indessen Entscheidreife, insbesondere eine genügende Abklärung des rechtserhebli-chen Sachverhaltes, voraus.</w:t>
      </w:r>
    </w:p>
    <w:p>
      <w:r>
        <w:rPr>
          <w:b/>
        </w:rPr>
        <w:t>E. 5.3</w:t>
      </w:r>
    </w:p>
    <w:p>
      <w:r>
        <w:t>Die Beschwerdeführerin führte an der BzP nach ihren Asylgründen befragt aus, sie sei wegen den Problemen ihres Ehemannes mit den iranischen Behörden gemeinsam mit diesem geflüchtet, anlässlich der Anhörung ergänzte sie dieses Vorbringen und führte aus, sie sei von einem Etelaat Funktionär vergewaltigt worden, als sie ihren Ehemann nach einer mehrtägigen Haft abgeholt habe. Aus dem Anhörungsprotokoll gehen kaum Details zur geltend gemachten Vergewaltigung hervor, es wird höchstens ersichtlich, dass die Beschwerdeführerin grosse Mühe hatte, über das Vorgefallene zu berichten. Die Vorinstanz hat das Asylgesuch ihres Ehemannes mit separater Verfügung vom 17. August 2015 wegen fehlender Glaubhaftigkeit abgelehnt und die Glaubhaftigkeit der Vergewaltigung unter den geltend gemachten Umständen pauschal verneint und le-diglich festgehalten, dass ein traumatisierendes Ereignis in ihrem Heimatland nicht ausgeschlossen werden könne (vgl. Abschnitt II Ziffer 1 Absatz 2f.). Dabei wurde die Frage, ob die Vergewaltigung - die Glaubhaftigkeit derselben unter der geltend gemachten Umständen vorausgesetzt - asyl-relevant sein könnte, ausser Acht gelassen. Mit heutigem Urteil des BVGer D-5840/2015 wurden Glaubhaftigkeit und Asylrelevanz der Vorbringen ih-res Ehemannes bejaht, die Beschwerde gutgeheissen und die Vorinstanz angewiesen, ihm Asyl zu erteilen, womit dem vorinstanzlichen Hauptargu-ment zur fehlenden Glaubhaftigkeit der Vergewaltigung die Grundlage ent-zogen wurde. Davon unbenommen erweist sich die in der Beschwerdeein-gabe vertretene Auffassung, wonach auf die persönlichen Asylgründe wie insbesondere die Vergewaltigung an der Anhörung kaum eingegangen und diese bei der Entscheidfindung keineswegs thematisiert worden sei, als zutreffend. Die Vorinstanz hat es vorliegend unter Verletzung des Untersu-chungsgrundsatzes und der Begründungspflicht unterlassen, wichtige Sachverhaltselemente korrekt und angemessen abzuklären beziehungs-weise zu berücksichtigen. Es erweist sich folglich als angezeigt, die Sache an die Vorinstanz zwecks Vornahme weiterer Abklärungen zurückzuwei-sen.</w:t>
      </w:r>
    </w:p>
    <w:p>
      <w:r>
        <w:rPr>
          <w:b/>
        </w:rPr>
        <w:t>E. 6.1</w:t>
      </w:r>
    </w:p>
    <w:p>
      <w:r>
        <w:t>Bei diesem Ausgang des Verfahrens sind keine Kosten zu erheben (Art. 63 Abs. 1 und 2 VwVG). Der geleistete Kostenvorschuss von Fr. 600.- ist den Beschwerdeführenden zurückzuerstatten.</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eine Kostennote vom 16. November 2016 eingereicht in der Höhe von total Fr. 3'510.-, welche den Aufwand für das vorliegende und das Beschwerdeverfahren des Ehemannes beziehungsweise der Söhne der Beschwerdeführerin umfasst und hälftig auf die beiden Verfahren aufzuteilen ist. Das SEM ist demnach anzuweisen, den Beschwerdeführenden eine Parteientschädigung in der Höhe von Fr. 1'755.-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