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D-5833/2017 vom 11. April 2018</w:t>
      </w:r>
    </w:p>
    <w:p>
      <w:r>
        <w:t>Bundesverwaltungsgericht, 2018-04-11, DE</w:t>
      </w:r>
    </w:p>
    <w:p>
      <w:r>
        <w:rPr>
          <w:b/>
        </w:rPr>
        <w:t xml:space="preserve">Quelle: </w:t>
      </w:r>
      <w:r>
        <w:t>https://mcp.opencaselaw.ch/entscheid/bvger_D-5833_2017</w:t>
      </w:r>
    </w:p>
    <w:p>
      <w:r>
        <w:t>FR: TAF D-5833/2017 du 11 avril 2018</w:t>
      </w:r>
    </w:p>
    <w:p>
      <w:r>
        <w:t>IT: TAF D-5833/2017 del 11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die Abweisung des Asylgesuchs damit, dass die Vorbringen des Beschwerdeführers teilweise asylrechtlich nicht relevant (vgl. nachfolgend E. 4.1.1) und im Übrigen nicht glaubhaft seien (vgl. E. 4.1.2).</w:t>
      </w:r>
    </w:p>
    <w:p>
      <w:r>
        <w:rPr>
          <w:b/>
        </w:rPr>
        <w:t>E. 4.1.1</w:t>
      </w:r>
    </w:p>
    <w:p>
      <w:r>
        <w:t>Staatliche Massnahmen gegen Leib, Leben und Freiheit einer Person seien dann asylrelevant, wenn sie auf Grund ihrer Art und Intensität ein menschenwürdiges Leben im Verfolgerstaat in unzumutbarer Weise erschweren würden. Es sei nicht auszuschliessen, dass Kurden in der türkischen Armee vermehrten Schikanen durch ihre türkischen Kameraden und Vorgesetzten ausgesetzt sein könnten. Auch die Vorbringen des Beschwerdeführers seien unter diesem Aspekt zu sehen. Bei diesen Schikanen handle es sich jedoch nicht um ernsthafte Nachteile im Sinne des Asylgesetzes. Sodann würden gemäss Art. 3 Abs. 3 AsylG Personen, die wegen Wehrdienstverweigerung oder Desertion ernsthaften Nachteilen ausgesetzt seien oder begründete Furcht hätten, solchen Nachteilen ausgesetzt zu werden, nicht als Flüchtlinge anerkannt. Eine asylrelevante Verfolgungsmotivation liege somit nicht vor, wenn staatliche Massnahmen der Durchsetzung staatsbürgerlicher Pflichten dienen würden; vorbehalten bleibe die Einhaltung des Abkommens vom 28. Juli 1951 über die Rechtsstellung der Flüchtlinge (Flüchtlingskonvention; FK). Gemäss ständiger Praxis der schweizerischen Asylbehörden habe ein Staat grundsätzlich das Recht, eine Armee zu unterhalten und zu diesem Zweck seine Bürger zu rekrutieren. Zudem sei ein Staat berechtigt, im Rahmen der gesetzlichen Bestimmungen Strafmassnahmen zu ergreifen, wenn sich eine militärdienstpflichtige Person einem militärischen Aufgebot widersetze. Solche Massnahmen seien grundsätzlich legitim und erfolgten nicht aus einer der von Art. 3 AsylG geschützten Eigenschaften. Der Beschwerdeführer habe - abgesehen von seinen unglaubhaften Angaben zur Dauer des Militärdienstes - geltend gemacht, aufgrund der erlittenen Schikanen viermal aus dem Militärdienst desertiert und deswegen vor Gericht gestellt worden zu sein. Wie ausgeführt sei der türkische Staat rechtsstaatlich legitimiert, Verstösse gegen die Dienstpflicht seiner Bürger zu ahnden. Dass dies in korrekter Weise erfolgt sei, belege die von den türkischen Behörden von Amtes wegen bestellte Rechtsvertretung (vgl. Vi-act. A11/23 S. 13-17).</w:t>
      </w:r>
    </w:p>
    <w:p>
      <w:r>
        <w:rPr>
          <w:b/>
        </w:rPr>
        <w:t>E. 4.1.2</w:t>
      </w:r>
    </w:p>
    <w:p>
      <w:r>
        <w:t>Der Wahrheitsgehalt wesentlicher Vorbringen, die ohne zwingenden Grund im weiteren Verlauf des Verfahrens nicht mehr geltend gemacht werden, sei zweifelhaft. Auf die bei der BzP geltend gemachte Verurteilung zu einer Haft von mehr als fünf Jahren und auf seine Vorbringen hinsichtlich Verschleppung, Bedrohung und versuchter Anwerbung als Informant durch die Polizei sei der Beschwerdeführer bei der Anhörung von sich aus nicht mehr zu sprechen gekommen (Vi-act. A5/11, Ziff. 7.01; A11/23, F120-123, F156 ff., F171 ff.). Auf Nachfrage hin habe er eingeräumt, die geltend gemachte Verurteilung sei lediglich eine Vermutung (Vi-act. A11/23, F158, F166-170). Die geltend gemachten polizeilichen Übergriffe würden zudem teilweise über zehn Jahre zurückliegen und der Beschwerdeführer habe sich dazu bei der Anhörung hinsichtlich der Datierung äusserst vage und im Widerspruch zu den Angaben anlässlich der BzP ausgedrückt (Vi-act. A5/11 Ziff. 7.02; A11/23 F172-183). Auch bezüglich seiner Dokumente und Ausweise habe der Beschwerdeführer der allgemeinen Erfahrung zuwiderlaufende Angaben gemacht. So sei höchst unwahrscheinlich, dass die Polizei seine fünf Jahre alte Identitätskarte aufgrund der Herkunft seiner Familie aus dem Osten der Türkei einfach weggeworfen haben solle. Falls die Polizei seine Identitätskarte aus irgendwelchen Gründen eingezogen hätte, wäre es nicht nachvollziehbar, dass er anschliessend einfach eine neue hätte erlangen können (Vi-act. A5/11 Ziff. 4; Vi-act. A11/23 F6 ff.). Nicht nachvollziehbar seien auch seine Angaben betreffend den Verbleib seines Passes, den seine Mutter im Zuge eines Besuchs von fünf Zivilpolizisten, die sich nach ihm erkundigt hätten, vernichtet haben soll, weil sie keine Gegenstände von ihm zu Hause habe haben wollen (Vi-act. A5/11 Ziff. 4.02; Vi-act. A11/23 F9-19). Überdies erscheine unwahrscheinlich, dass eine vom Beschwerdeführer beauftragte Rechtsvertretung keine Verfahrensunterlagen erhalten sollte, weil das Verfahren militärisch sei, wohingegen ihm persönlich die Akten aber ausgehändigt würden. Ferner habe er weder die Adresse noch die Telefonnummer seiner Rechtsvertretung angeben und nur vermuten können, wo sich deren Kanzlei befinde. Auch zum Kontakt mit seiner Rechtsvertretung habe er sich nur vage geäussert (Vi-act. A11/23 F27-30, F204-207). Schliesslich habe sich der Beschwerdeführer zu wesentlichen Vorbringen widersprüchlich geäussert. Während er bei der BzP geltend gemacht habe, Mitglied der HDP und für die Partei tätig gewesen zu sein, habe er bei der Anhörung angegeben, von 2001 bis 2004 einfaches Mitglied gewesen zu sein, die Partei dann aber verlassen zu haben (Vi-act. A11/23 F77-84).</w:t>
      </w:r>
    </w:p>
    <w:p>
      <w:r>
        <w:rPr>
          <w:b/>
        </w:rPr>
        <w:t>E. 4.2</w:t>
      </w:r>
    </w:p>
    <w:p>
      <w:r>
        <w:t>Der Beschwerdeführer hält den Ausführungen der Vorinstanz entgegen, seine Vorbringen würden sowohl den Anforderungen von Art. 7 AsylG als auch jenen von Art. 3 AsylG genügen, weshalb er die Flüchtlingseigenschaft erfülle und ihm Asyl zu gewähren sei.</w:t>
      </w:r>
    </w:p>
    <w:p>
      <w:r>
        <w:rPr>
          <w:b/>
        </w:rPr>
        <w:t>E. 4.2.1</w:t>
      </w:r>
    </w:p>
    <w:p>
      <w:r>
        <w:t>Aus den Akten ergebe sich, dass er aus einer kurdisch-alevitischenFamilie stamme und bereits vor dem Einrücken in den Militärdienst politisch aktiv gewesen sei. Aufgrund seiner politischen Aktivitäten sei er ins Visier der türkischen Sicherheitskräfte geraten. Damals habe ihn die türkische Polizei festgenommen, geschlagen und gezwungen, als Informant für sie zu arbeiten. Da er einer Kollaboration nicht zugestimmt habe, sei er dermassen unter Druck gesetzt worden, dass er aus der Partei habe austreten müssen (vgl. Vi-act. A11/23 F81). Aufgrund seiner politischen Aktivitäten vor dem Militärdienst sei er den türkischen Sicherheitskräften somit bereits bekannt gewesen. Im November 2005 habe er den Militärdienst angetreten. Auch dort habe man ihn aufgrund seiner politischen Vergangenheit, seiner ethnischen Abstammung und seines alevitischen Glaubens nicht in Ruhe gelassen. Nach dem Tadel durch den Kommandanten habe er ständig Schikanen, Drohungen und Schläge erlitten. Dies habe er auf Dauer nicht mehr ausgehalten; er habe grosse Angst gehabt, dass man ihn irgendwann unter mysteriösen Umständen beseitigen würde. Daher sei er mehrfach desertiert (vgl. Vi-act. A11/23 F120 f.). Seine Furcht sei angesichts der Tatsache, dass Dutzende andere kurdische Soldaten während des Militärdienstes getötet würden, nicht unbegründet gewesen. Gefährdet seien insbesondere politisch aktive Personen, die den Behörden im Zusammenhang mit der PKK, der HADEP, der HDP oder ähnlichen Organisationen bereits bekannt seien. Die Todesfälle im Militär würden jeweils als "Unfälle" oder "Selbstmorde" eingestuft und die Täter blieben ungestraft (vgl. Beschwerdebeilage 8). Kein Staat dürfe bestimmte Bürger aufgrund ihrer politischen Ansicht, ihrer ethnischen Abstammung oder ihres Glaubens aussergerichtlich exekutieren lassen. Deshalb seien seine Asylvorbringen im Gegensatz zur Behauptung der Vorinstanz im Sinne von Art. 25 BV, Art. 5 Abs. 1 AsylG, Art. 3 EMRK, Art. 3 des Übereinkommens vom 10. Dezember 1984 gegen Folter und andere grausame, unmenschliche oder erniedrigende Behandlung oder Strafe (FoK, SR 0.105) und Art. 33 FK begründet und asylrelevant (BVGer-act. 1, S. 4-6).</w:t>
      </w:r>
    </w:p>
    <w:p>
      <w:r>
        <w:rPr>
          <w:b/>
        </w:rPr>
        <w:t>E. 4.2.2</w:t>
      </w:r>
    </w:p>
    <w:p>
      <w:r>
        <w:t>Nach jeder Desertation sei er festgenommen worden und es sei schliesslich ein Verfahren eröffnet worden. Das Militärstrafgericht habe ihn gegen Ende 2015 zu einer Gefängnisstrafe von über fünf Jahren verurteilt. Für die Verhandlung habe er von seinem damaligen Anwalt eine Kopie der gerichtlichen Vorladung erhalten (vgl. Beschwerdebeilage 5 sowie BVGer-act. 3). Um einer Verhaftung zu entgehen, sei er gezwungen gewesen, ins Ausland zu flüchten. Inzwischen habe er eine andere Anwältin mit der Sache beauftragt. Diese habe versucht, das Urteil und auch andere gerichtliche Dokumente zu bekommen; es sei ihr jedoch nicht gelungen. Dies gehe aus ihrem Schreiben vom 10. Oktober 2017 hervor (vgl. Beschwerdebeilage 6). Der Vorinstanz stehe es frei, diesbezüglich eine Botschaftsabklärung durchzuführen (BVGer-act. 1, S. 6).</w:t>
      </w:r>
    </w:p>
    <w:p>
      <w:r>
        <w:rPr>
          <w:b/>
        </w:rPr>
        <w:t>E. 4.2.3</w:t>
      </w:r>
    </w:p>
    <w:p>
      <w:r>
        <w:t>Schliesslich könne vor dem Hintergrund der aktuellen politischen Entwicklungen in der Türkei keine Rede mehr von Rechtsstaatlichkeit, Demokratie, Menschenrechten und Pressefreiheit sein. Im Falle einer Rückkehr würde er mit Sicherheit sofort verhaftet werden und müsste dann mit einer menschenunwürdigen Behandlung rechnen. Gemäss Berichten der internationalen Menschenrechtsorganisationen seien willkürliche Verhaftungen und Folter an der Tagesordnung. Der türkische Staat habe bereits im Sommer 2015 in den kurdischen Provinzen der Osttürkei die EMRK ausgesetzt und im Krieg gegen die PKK den Sicherheitskräften Straffreiheit zugesprochen (vgl. Schnellrecherche der Schweizerischen Flüchtlingshilfe [SFH] vom 7. Juli 2017, abrufbar unter &lt;https://www.fluechtlingshilfe.ch/assets/ herkunftslaender/europa/tuerkei/170707-tur-pkk-opposition-rueckkehr-anonym.pdf&gt;, zuletzt besucht am 3. April 2018). Angesichts dieser Lage müsse erst recht davon ausgegangen werden, dass er im Falle einer Rückkehr in die Türkei erneut verhaftet würde. Dies mache unmissverständlich deutlich, dass seine Furcht vor zukünftiger staatlicher Verfolgung objektiv begründet sei (BVGer-act. 1, S. 7 f.).</w:t>
      </w:r>
    </w:p>
    <w:p>
      <w:r>
        <w:rPr>
          <w:b/>
        </w:rPr>
        <w:t>E. 4.3</w:t>
      </w:r>
    </w:p>
    <w:p>
      <w:r>
        <w:t>Vernehmlassend führt die Vorinstanz aus, weder die Ausführungen auf Beschwerdeebene noch die eingereichten Beweismittel könnten eine Änderung ihres Standpunktes rechtfertigen. Dies betreffe insbesondere auch die Vorladung vom 14. Dezember 2015. Hierzu sei auf die diesbezüglichen Angaben des Beschwerdeführers zu verweisen (Vi-act. A5/11 Ziff. 7.01, A11/23 F23).</w:t>
      </w:r>
    </w:p>
    <w:p>
      <w:r>
        <w:rPr>
          <w:b/>
        </w:rPr>
        <w:t>E. 4.4</w:t>
      </w:r>
    </w:p>
    <w:p>
      <w:r>
        <w:t>In seiner Replik bringt der Beschwerdeführer vor, die Vorinstanz stelle die Echtheit der eingereichten Beweismittel nicht in Frage. Hinsichtlich der erwähnten Aktenstellen sei festzuhalten, dass diese seinen Vorbringen nicht entgegenstehen würden. Aktuell sei es in der Türkei selbst bei einem Zivilgericht sehr schwierig, Beweismittel zu erhalten, geschweige denn bei einem Militärgericht. Allein die Tatsache, dass er eine neue Anwältin mit der Sache beauftragt habe, zeuge davon, dass seine Angaben zutreffen würden.</w:t>
      </w:r>
    </w:p>
    <w:p>
      <w:r>
        <w:rPr>
          <w:b/>
        </w:rPr>
        <w:t>E. 5.1</w:t>
      </w:r>
    </w:p>
    <w:p>
      <w:r>
        <w:t>Das SEM hat zu Recht festgestellt, dass die Vorbringen des Beschwerdeführers zum Militärdienst und der mehrfachen Desertion asylrechtlich nicht relevant sind; diesbezüglich kann vollumfänglich auf dessen Erwägungen verwiesen werden (vgl. vorne E. 4.1.1). Überdies erweisen sie sich aber auch als unglaubhaft. Hinsichtlich der angeblichen Desertionen äusserte sich der Beschwerdeführer widersprüchlich. Bei der BzP sprach er lediglich von einer Desertion, in deren Folge er im Jahr 2006 vier Monate in Haft gewesen sei. Zudem gab er an, er habe von November 2005 bis Februar oder März 2006 Militärdienst geleistet (vgl. Vi-act. A5/11 Ziff. 7.02). Anlässlich der Anhörung machte er hingegen einen Militärdienst von November 2005 bis etwa Juli 2008 (Vi-act. A11/23 F92, F131 ff.) mit insgesamt vier Desertionen - Ende Januar 2006, Ende Februar 2006, Juni 2006 und Oktober 2006 - geltend, wobei er immer wieder kurzzeitig in Militärhaft gewesen sei (vgl. Vi-act. A11/23 F120-128). Auf Vorhalt erklärte er, er habe während einer psychiatrischen Behandlung Spritzen erhalten, die ihn vergesslich gemacht hätten; bei der Erstbefragung habe er sich zudem nicht vollständig ausgedrückt (vgl. Vi-act. A11/23 F132, F193). Dies überzeugt nicht, sondern wirkt vielmehr nachgeschoben, wurde der Beschwerdeführer bei der BzP doch auf seine Mitwirkungspflicht (vgl. Art. 8 AsylG) hingewiesen und gab an, es gebe keine weiteren als die genannten Gründe, die gegen eine Rückkehr in die Türkei sprechen würden (vgl. Vi-act. A5/11 S. 2 und Ziff. 7.03). Aufgrund dieser Widersprüche können ihm die Desertionen nicht geglaubt werden. Eine Würdigung des eingereichten Internetartikels (Beschwerdebeilage 8) kann somit unterbleiben. Ebenfalls nicht glaubhaft erscheint, dass der Beschwerdeführer zu einer mehrjährigen Haftstrafe verurteilt wurde, zumal er sich auch diesbezüglich widersprüchlich äusserte. Bei der Erstbefragung gab er an, er habe im Sommer 2015 vor Gericht gestanden. Kurz vor seiner Ausreise sei ein Urteil gefällt worden, wobei er die genaue Strafe nicht kenne. Den letzten Kontakt mit den Behörden habe er durch das Urteil gehabt. Wäre er in der Türkei geblieben, wäre er verhaftet und ins Gefängnis gesteckt worden (vgl. Vi-act. A5/11 Ziff. 7.01). Bei der Anhörung brachte er hingegen vor, er habe im März 2014 vor Gericht gestanden und sei im September 2015 erneut vorgeladen worden. Aufgrund eines Besuchs der Polizei bei seiner Familie im Dezember 2015 habe er lediglich vermutet, verurteilt worden zu sein; er gehe von einer Strafe von rund fünf Jahren aus, wobei sie gemäss seiner Anwältin auch höher ausgefallen sein könnte (vgl. Vi-act. A11/23 F155-F170). Die eingereichten Beweismittel lassen keine andere Einschätzung zu. Die angebliche gerichtliche Vorladung vom 14. Dezember 2015 (Beschwerdebeilage 5) liegt lediglich in Kopie vor. Der rudimentären Übersetzung (vgl. BVGer-act. 3) ist neben dem Datum einzig der Absender (Militärgericht D._______), der Name und die Adresse des Beschwerdeführers, eine Dossiernummer und als Betreff das Wort "wichtig" zu entnehmen. Dem Dokument kommt kein Beweiswert zu. Weder lässt sich daraus ableiten, dass ein Strafverfahren gegen den Beschwerdeführer läuft, noch dass er zu einer Verhandlung vorgeladen wurde. Zudem gab er bei der Anhörung an, er hätte bereits Ende September 2015 vor Gericht erscheinen sollen; eine weitere Vorladung vom Dezember 2015 erwähnte er nicht (vgl. Vi-act. A11/23 F 156 ff.). Aus dem ebenfalls lediglich in Kopie vorliegenden Schreiben der türkischen Rechtsanwältin vom 10. Oktober 2017 (Beschwerdebeilage 6) ergibt sich insbesondere, dass diese weder ein Urteil noch einen Haftbefehl habe erhältlich machen können, weil die Militärgerichte in der Türkei im Jahr 2017 aufgehoben worden seien. Auch dieses Dokument vermag eine Verurteilung des Beschwerdeführers nicht zu belegen. Somit kann auch nicht geglaubt werden, dass die Familie des Beschwerdeführers aufgrund von dessen mehrfacher Desertion im August 2016 von der Polizei aufgesucht wurde.</w:t>
      </w:r>
    </w:p>
    <w:p>
      <w:r>
        <w:rPr>
          <w:b/>
        </w:rPr>
        <w:t>E. 5.2</w:t>
      </w:r>
    </w:p>
    <w:p>
      <w:r>
        <w:t>Eine asylrelevante Gefährdung des Beschwerdeführers aufgrund der geltend gemachten politischen Aktivitäten ist ebenfalls auszuschliessen. Zum einen lagen diese und die in diesem Zusammenhang vorgebrachten Festnahmen und Schikanen seitens der Polizei im Zeitpunkt der Ausreise bereits über 10 Jahre zurück, womit es an einem Kausalzusammenhang zwischen der letzten Behelligung und dem Verlassen des Heimatstaats fehlt; eine fortdauernde begründete Furcht vor zukünftiger Verfolgung lag im Zeitpunkt der Ausreise nicht vor (vgl. BVGE 2010/57 E. 2.4). Zum anderen macht der Beschwerdeführer für die Zeit seiner Mitgliedschaft bei der HDP von 2001 bis 2004 kein ernsthaftes Engagement für die Partei geltend. So gab er an, er sei ein einfaches Mitglied und nicht sehr aktiv gewesen. Er habe an verschiedenen Veranstaltungen teilgenommen und ab und zu Flugblätter für 1. Mai-Demonstrationen verteilt; an diesen Kundgebungen habe er auch teilgenommen und mit Parteikameraden getanzt, gefeiert und diskutiert; zudem habe er sich im Vereinslokal aufgehalten (vgl. Vi-act. A5/11 Ziff. 7.02; A11/23 F77-84, F90).</w:t>
      </w:r>
    </w:p>
    <w:p>
      <w:r>
        <w:rPr>
          <w:b/>
        </w:rPr>
        <w:t>E. 5.3</w:t>
      </w:r>
    </w:p>
    <w:p>
      <w:r>
        <w:t>Nach dem Gesagten hat der Beschwerdeführer nicht glaubhaft gemacht, dass er in asylrechtlich relevanter Weise verfolgt wurde oder ihm im Falle einer Rückkehr in die Türkei Verfolgung drohen würde. Insbesondere ist entgegen seinen allgemeinen Ausführungen zur Lage in der Türkei nicht davon auszugehen, dass er bei der Einreise sofort verhaftet würde und mit einer menschenunwürdigen Behandlung rechnen müsste. Aus der vom Beschwerdeführer angerufenen Schnellrecherche der SFH vom 7. Juli 2017 folgt, dass Kurden seitens der Behörden diskriminiert würden, grundsätzlich aber nicht davon auszugehen sei, dass Personen bei der Einreise verhaftet würden, nur weil sie kurdischer Ethnie seien (vgl. dort S. 11). Das SEM hat das Asylgesuch somit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unzulässig erscheinen (vgl. etwa die Urteile des BVGer D-7523/2015 vom 12. Februar 2018 E. 6.3; E-7583/2016 vom 8. Februar 2018 E. 7.2).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der Türkei herrscht keine landesweite Situation allgemeiner Gewalt. Trotz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vgl. BVGE 2013/2 E. 9.6) und der Entwicklungen nach dem Militärputschversuch vom 15./16. Juli 2016, ist gemäss konstanter Gerichtspraxis - auch für Angehörige der kurdischen Ethnie - nicht von einer Situation allgemeiner Gewalt oder bürgerkriegsähnlichen Verhältnissen auszugehen (vgl. das Urteil des BVGer E-3040/2017 vom 28. Juli 2017 E. 6.2.2, bestätigt in D-7523/2015, a.a.O., E. 6.5). Aus den Akten ist ferner nicht ersichtlich, dass der Beschwerdeführer im Falle der Rückkehr in die Türkei aus individuellen Gründen wirtschaftlicher, sozialer oder gesundheitlicher Natur in eine existenzbedrohende Situation geraten könnte. Diesbezüglich kann auf die Erwägungen in der angefochtenen Verfügung verwiesen werden, denen der Beschwerdeführer keine substanziierten Einwände entgegenhält.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