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D-5828/2010 vom 29. August 2012</w:t>
      </w:r>
    </w:p>
    <w:p>
      <w:r>
        <w:t>Bundesverwaltungsgericht, 2012-08-29, DE</w:t>
      </w:r>
    </w:p>
    <w:p>
      <w:r>
        <w:rPr>
          <w:b/>
        </w:rPr>
        <w:t xml:space="preserve">Quelle: </w:t>
      </w:r>
      <w:r>
        <w:t>https://mcp.opencaselaw.ch/entscheid/bvger_D-5828_2010</w:t>
      </w:r>
    </w:p>
    <w:p>
      <w:r>
        <w:t>FR: TAF D-5828/2010 du 29 août 2012</w:t>
      </w:r>
    </w:p>
    <w:p>
      <w:r>
        <w:t>IT: TAF D-5828/2010 del 29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Im Rahmen des Instruktionsverfahrens wurde der Beschwerdeführerin am 2. April 2012 vom Bundesverwaltungsgericht Einsicht in weitere vo­rinstanzliche Akten gewährt. In dieser Verfügung, auf welche zu verwei­sen ist, wurde ferner ausführlich dargelegt, weshalb das BFM die Einsicht in gewisse Akten in zulässiger Weise unterliess. Ausserdem wurde der Be­schwerdeführerin Frist zu einer nochmaligen Stellungnahme ange­setzt. Gestützt auf diese Sachlage ist ein allfälliger Mangel des BFM bei der Akteneinsicht nunmehr als geheilt zu erachten. Die Vorinstanz weist in ihrer Vernehmlassung sodann zu Recht darauf hin, dass die Einrei­chung eines Artikels aus der NZZ bereits im erstinstanzli­chen Verfahren sei­tens der Beschwerdeführerin (zumindest gemäss Aktenverzeichnis) of­fenbar nicht stattgefunden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(Art. 7 Abs. 1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5.1</w:t>
      </w:r>
    </w:p>
    <w:p>
      <w:r>
        <w:t>Soweit die Beschwerdeführerin beantragt, es sei ein Gutachten im Hin­blick auf die Frage der Glaubhaftigkeit ihrer Aussagen zu veranlassen, ist darauf hinzuweisen, dass es grundsätzlich Aufgabe des Bundesverwal­tungsgerichts ist, diese Frage zu klären. Eine Ausnahmesitua­tion, in welcher es allenfalls als geboten erscheinen würde, eine solche Instruktionsmassnahme zu ergreifen, liegt nicht vor. Zwar ist im Sinne der eingereichten ärztlichen Unterlagen unbestritten, dass die Beschwerdeführerin unter psychischen Beschwerden leidet und diese gemäss den ausführlichen Beschwerdevorbringen ihr Aussageverhal­ten beeinflusst haben könnten. Sie war indes in der Lage, die Fluchtgründe aus ihrer Sicht ausführlich zu Protokoll zu geben, und ver­mittelte dabei durchaus den Eindruck einer urteils- und aussagefähi­gen Person (vgl. dazu auch die Einschätzung im Arztbericht vom 10. Mai 2010 Ziff. 1.3). Mithin kann von einem rechtsgenüglich erstellten Sachver­halt ausgegangen werden. Der Tatsache, dass traumatisierte Personen mit­unter nicht in der Lage sind, das Erlebte von sich aus spontan zu den Akten zu geben, und Verdrängungsmechanismen ihr Aussageverhalten be­einflussen können, ist vom Spruchgremium in den nachfolgenden Erwä­gungen im gebührenden Ausmass Rechnung zu tragen. Entgegen den Beschwerdevorbringen erweckt sodann auch die Vorgehensweise der Befragungsperson anlässlich der Anhörung nicht den Eindruck, die psy­chische Befindlichkeit der Beschwerdeführerin sei in ihrem Aussagever­halten nicht berücksich­tigt worden. Der Antrag auf Erstellung ei­nes Gutachtens zur Frage der Glaubhaftigkeit ist mithin abzuweisen (vgl. dazu die Zwischenverfügung vom 16. März 2012). Ohnehin kommt das Bundesverwaltungsgericht in Abwägung sämtli­cher Aussagen vorlie­gend zum Schluss, dass die Vorinstanz zu Unrecht von der fehlen­den Glaubhaftigkeit der Kernvorbringen ausging.</w:t>
      </w:r>
    </w:p>
    <w:p>
      <w:r>
        <w:rPr>
          <w:b/>
        </w:rPr>
        <w:t>E. 5.2</w:t>
      </w:r>
    </w:p>
    <w:p>
      <w:r>
        <w:t>Gemäss Aktenlage hat die Beschwerdeführerin erst Monate nach der Einreise und nach einer behördlichen Festnahme ein Asylgesuch gestellt. Ihr Vorbringen in der Beschwerde, sie habe bereits vor Einreichung des Asylgesuchs einer für Frauenhandel spezialisierten Beamtin ihr Schick­sal destailliert erzählt, trifft aber insofern zu, als sie dabei offenbar erlittene se­xuelle Gewalt vorbrachte. Die Ereignisse in der Elfenbeinküste schil­derte sie am 23. Januar 2010 dem Haftrichter. Die verzögerte Asylgesuchs­stellung ist in Würdigung der Fallumstände aber schon inso­fern nicht entscheidrelevant, als dafür in Anbetracht des schon von den da­mals involvierten Behörden offenbar gehegten Verdachts des Frauenhan­dels nachvollziehbare Gründe bestanden haben dürften (vgl. auch A 24/29 Antworten 233 f. und die entsprechenden Beschwerdeargu­mente). Folglich sind auch die Schilderungen der Beschwerdeführerin betreffend Reiseumstände in die Schweiz, welche vom BFM aufgrund reali­tätsfremder und sub­stanzarmer Aussagen für nicht glaubhaft erachtet wurden, betreffend Glaubhaftigkeit der Kernvorbringen nicht überzubewer­ten. Entscheidender ist die Tatsache, dass die Darlegungen der Beschwerdefüh­rerin Realkennzeichen aufweisen. Sie begann während der Anhörung wieder­holt zu weinen. Zudem hat sie die Lage in C._______ wäh­rend der Aus­einandersetzungen im Jahre 2002 und die damit verbun­dene Begeg­nung mit den Rebellen in einem gewissen Ausmass substanzi­iert und nach­vollziehbar geschildert (A 24/29 Antworten 162 ff.). Dass sie unter den damaligen kriegerischen Auseinandersetzungen litt und auf der Flucht durch die Rebellen angehalten wurde, erscheint somit als durchaus realistisch. Ihre andauernde Furcht vor den Rebellen äus­serte sie im Übrigen bereits im Zusammenhang mit Fragen zu ihren Kin­dern, indem sie spontan angab, die Rebellen könnten im Sinne einer Reflex­verfolgung auch diesen nachstellen, da die Rebellen Angst davor hät­ten, sie als Zeugin des Vorgefallenen könnte belastende Aussagen ma­chen (A 24/29 Antworten 62 ff.). Zwar bestehen gewisse Zweifel daran, dass sie in der Folge tatsächlich sechs Jahre unter den geschilderten Bedin­gungen im Gewahrsam der Rebellen verbringen musste. So fällt auf, dass sie ihre Vorbringen in zeitlicher Hinsicht kaum einzuordnen wusste. Andererseits sind ihr wegen der diagnostizierten Traumatisierung gewisse Aussagemühen zu Gute zu halten. Ihre zum Teil etwas schlich­ten, aber nicht widersprüchlichen Angaben zur Zeit bei den Rebellen vermit­teln insgesamt jedenfalls eher den Eindruck von tatsächlich Erleb­tem und nicht denjenigen eines blossen Sachverhaltskonstrukts; sie las­sen sich ausserdem gut vereinbaren mit verschiedenen Quellen zur damali­gen Situation vor Ort (vgl. untenstehend E. 5.4.). So war die Be­schwerdeführerin im Zusammenhang mit der vorgebrachten Flucht nach B._______ auch in der Lage, tatsachengemäss auf zwei verschiedene Rebel­lengruppen mit unterschiedlichen Absichten hinzuweisen (A 24/29 Antworten 160, 208 und 239). Auch wenn ihre Schilderungen eines Tages­ablaufs im Gewahrsam der Rebellen und zu Mitgefangenen nur bedingt substanziiert ausgefallen sind, ist in Würdigung gewisser doch detaillierter Aussagen davon auszuge­hen, dass sie tatsächlich während längerer Zeit in deren Machtbe­reich lebte und dabei Opfer von Gewalt wurde.</w:t>
      </w:r>
    </w:p>
    <w:p>
      <w:r>
        <w:rPr>
          <w:b/>
        </w:rPr>
        <w:t>E. 5.3</w:t>
      </w:r>
    </w:p>
    <w:p>
      <w:r>
        <w:t>Die ärztlichen Berichte attestieren der Beschwerdeführerin eine post­traumatische Belastungsstörung. An diesen Befunden ist nicht zu zwei­feln. Die genaue Ursache der psychischen Leiden vermögen die Berichte vom 10. Mai 2010, 10. Juni 2010, 23. August 2010, 30. August 2010, 26. Juni 2012 und 28. Juni 2012 im Sinne der vorinstanzlichen Erwägungen aber praxisgemäss nicht schlüs­sig anzugeben respektive zu belegen. Da die Beschwerdeführerin aber seit gut zwei Jahren bei der Therapeutin D._______ in Behandlung steht und namentlich auch diese ärztliche Fachkraft in den von ihr eingereichten Berichten von der Glaubhaftigkeit der geltend gemachten Ereignisse ausgeht, ist von einem weiteren Indiz für die Glaubhaftigkeit der Kernvorbringen der Beschwerdeführerin auszugehen. Auch die fotografisch dokumentierten Narben deuten in ihrer Art auf Gewaltakte im Sinne der Vorbringen hin.</w:t>
      </w:r>
    </w:p>
    <w:p>
      <w:r>
        <w:rPr>
          <w:b/>
        </w:rPr>
        <w:t>E. 5.4.1</w:t>
      </w:r>
    </w:p>
    <w:p>
      <w:r>
        <w:t>Übereinstimmenden Berichten zufolge ist es unter den von der Be­schwerdeführerin erwähnten Umständen und im dargelegten Zeitraum tat­sächlich und verbreitet zu Übergriffen durch die Kriegsparteien an Frauen gekommen (vgl. Amnesty International, Côte d'Ivoire Targeting wo­men: the forgotten victims of the conflict, 15.03.2007, «http://www.amnesty.org/en/library/asset/AFR31/001/2007/en/ec778273-d3b1-11dd-a329-2f46302a8cc6/afr310012007en.pdf,» abgerufen am 09.07.2012; Human Rights Watch, "My Heart Is Cut": Sexual Violence by Rebels and Pro-Government Forces in Côte d'Ivoire, August 2007, «http://www.hrw.org/sites/default/files/reports/cdi0807webwcover.pdf», abge­rufen am 09.07.2012; ONUCI, Rapport sur la situation de Droits de l'Homme en Côte d'Ivoire. Main-Juin-Juillet 2005, Oktober 2005, «http://www.ohchr.org/Documents/Countries/CI/rapport3.pdf», abgerufen am 09.07.2012).</w:t>
      </w:r>
    </w:p>
    <w:p>
      <w:r>
        <w:rPr>
          <w:b/>
        </w:rPr>
        <w:t>E. 5.4.2</w:t>
      </w:r>
    </w:p>
    <w:p>
      <w:r>
        <w:t>Die in den Berichten erwähnte sexuelle Gewalt an Frauen verbun­den mit teils mehrjährigen Gefangennahmen stimmen mit den Vorbringen der Beschwerdeführerin weitestgehend überein. Es sei zu zahlreichen Ent­führungen von Frauen gekommen, welche in der Folge als Sexsklavin­nen Missbrauch erlitten hätten. Im Jahre 2007 seien nach wie vor viele Frauen in Gefangenschaft gewesen. Im Bericht von Amnesty Inter­national wird eine Frau erwähnt, die Ende 2002 in C._______ von einer Re­bellengruppe der Forces Nouvelles entführt worden sei (vgl. dazu A 24/29 Antwort 174). Die im Bericht wiedergegebenen Schilderungen die­ser Person könnten inhaltlich auch von der Beschwerdeführerin stam­men. Im besagten Bericht wird ferner eine zweite Entführung in C._______ im Jahr 2002 thematisiert. In der erwähnten französischsprachigen Quelle wird sodann darauf hingewiesen, dass viele Fälle von sexueller Gewalt ge­gen Frauen nicht gemeldet und entsprechend von keiner Institution aufge­zeichnet worden seien. Angehörige von Opfern hätten sich nicht zu Zeugenaussagen anhalten lassen.</w:t>
      </w:r>
    </w:p>
    <w:p>
      <w:r>
        <w:rPr>
          <w:b/>
        </w:rPr>
        <w:t>E. 6</w:t>
      </w:r>
    </w:p>
    <w:p>
      <w:r>
        <w:t>Die Gesamtwürdigung der Vorbringen ergibt damit, dass zwar nicht alle Zweifel an der Richtigkeit der Sachverhaltsdarstellung der Be­schwerde­führe­rin ausgeräumt sind, die dafür sprechenden Gründe aber überwie­gen. In Berücksichtigung aller Aspekte, welche für oder gegen die Glaubhaf­tigkeit der Kernvorbringen sprechen, ist nach dem Gesagten da­von auszugehen, dass sie tatsächlich bei den Rebellen in Gefangen­schaft geriet, dort Opfer von Gewalt wurde und erst Jahre später aus dem Heimatland fliehen konnte.</w:t>
      </w:r>
    </w:p>
    <w:p>
      <w:r>
        <w:rPr>
          <w:b/>
        </w:rPr>
        <w:t>E. 7</w:t>
      </w:r>
    </w:p>
    <w:p>
      <w:r>
        <w:t>Entsprechend der Lehre und Praxis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drohen oder zugefügt worden sein. Nach neuerer Recht­sprechung kann eine Verfolgungshandlung im Sinne von Art. 3 AsylG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 Nr. 12).</w:t>
      </w:r>
    </w:p>
    <w:p>
      <w:r>
        <w:rPr>
          <w:b/>
        </w:rPr>
        <w:t>E. 8.1</w:t>
      </w:r>
    </w:p>
    <w:p>
      <w:r>
        <w:t>Nachteilen, die Frauen zugefügt werden oder zugefügt zu werden dro­hen, liegt ein flüchtlingsrechtlich relevantes Motiv im Sinne von Art. 3 Abs. 1 AsylG dann zugrunde, wenn diese Nachteile in diskriminierender Weise an das Merkmal des (weiblichen) Geschlechts anknüpfen (vgl. Ur­teil D-4289/2006 vom 11. September 2008 E. 6.4). Die Beschwerdeführerin hat glaubhaft machen können, in ihrem Heimatland durch Vertreter einer Kriegs­partei gezielt Opfer geschlechtsspezifischer Verfolgung geworden zu sein; so waren gemäss den zitierten Quellen Vergewaltigungen von Frauen durch die Rebellen auch in C._______ in der massgeblichen Zeit ein gängiges Mittel der Kriegsführung, weshalb der Verfolgungscharakter der geltend gemachten Vergewaltigungen feststeht. Ob sie auch wegen ihrer Ethnie verfolgt wurde, lässt sich den Akten nicht schlüssig entnehmen. Die von ihr geltend gemachten Übergriffe erfüllen die Anforderungen an die Verfolgungsintensität gemäss Art. 3 AsylG zweifellos.</w:t>
      </w:r>
    </w:p>
    <w:p>
      <w:r>
        <w:rPr>
          <w:b/>
        </w:rPr>
        <w:t>E. 8.2</w:t>
      </w:r>
    </w:p>
    <w:p>
      <w:r>
        <w:t>Mit Bezug auf die Sicherheits- und Menschenrechtslage in der Côte d'I­voire ist zunächst auf eine vom Bundesverwaltungsgericht vorgenom­mene Lageeinschätzung im publizierten Urteil vom 24. November 2009 zu verweisen: Das Gericht hält darin fest, dass im Rahmen des Abkom­mens von Ouagadougou vom März 2007 die politische Lage deutlich habe stabilisiert werden können und eine positive Entwicklung der allgemei­nen Sicherheits- und Menschenrechtslage festzustellen sei (vgl. BVGE 2009/41 E. 7.3.2 ff.). Gleichzeitig ist aber festzuhalten, dass die Forces Nouvellles im April 2007 in die Regierung eingebunden wurden; de­ren Generalsekretär wurde zum Premierminister ernannt. Am 28. November 2010 fanden in der Côte d'Ivoire Präsident­schafts­wah­len statt. Nachdem der abgewählte Präsident Laurent Gbagbo den Wahl­sieg seines Herausforderers Alassane Ouattara nicht anerkannt hatte, bra­chen im März 2011 Kämpfe zwischen den Truppen der Kontrahenten aus. Am 11. April 2011 wurde Gbagbo festgenommen; in manchen Teilen Abidjans dauerten die Auseinandersetzungen bis Anfang Mai 2011. Am 1. Juni 2011 stellte Präsident Ouattara die neue Regierung vor mit dem bisheri­gen Premierminister. Am 28. November 2011 wurde die nationale Kommis­sion für Dialog, Wahrheit und Versöhnung (Commission dialogue, vérité et réconciliation; [CDVR]) offiziell eingesetzt. Am 29. November 2011 wurde Gbagbo an den Internationalen Strafgerichts­hof in Den Haag ausgeliefert und die Parlamentswahlen vom 11. De­zem­ber 2011 sind - wie vom zustän­digen Vertreter der Vereinten Nationen für die Elfenbein­küste festgestellt - im Grossen und Ganzen friedlich verlau­fen (zur aktuel­len Lage in der Côte d'Ivoire, vgl. etwa die Urteile E-907/2010 vom 16. Februar 2012 E. 8.2, D-754/2010 vom 10. Februar 2012 E. 9.3, D-1714/2009 vom 22. Dezember 2011 E. 7.4 und E-3093 vom 5. März 2012 E. 7.1).</w:t>
      </w:r>
    </w:p>
    <w:p>
      <w:r>
        <w:rPr>
          <w:b/>
        </w:rPr>
        <w:t>E. 8.3</w:t>
      </w:r>
    </w:p>
    <w:p>
      <w:r>
        <w:t>Nach dem Gesagten ist in gewissen Punkten insgesamt von einer Verbesse­rung der Lage vor Ort auszugehen. Die Tatsache, dass die Rebel­lenpartei, deren Vertreter der Beschwerdeführerin asylrelevante Nachteile zufügten, in die Regierung eingebunden wurde, lässt indes auch im aktuellen Zeitpunkt auf begründete Furcht der Beschwerdeführe­rin vor asylrelevanten Nachteilen schliessen. Deren Einbindung in staatli­che Strukturen gewährt nämlich in keiner Weise, dass die Beschwerdeführe­rin unbehelligt in B._______ leben könnte. Zum einen haben die Rebellen durch die Machtteilung weitgehende Befugnisse erhalten. Zum anderen kann von einem rechts­staatlichen Umgang mit ZeugInnen des im Krieg Vorgefallenen schon insofern nicht ausgegangen werden, als weiteren Quel­len zufolge nach wie vor bewaffnete Kräfte auch in B._______ in Erschei­nung treten, ohne dass davon Betroffene hinreichend geschützt wä­ren. Die Beschwerdeführerin müsste im Falle ihrer Rückkehr mit erhebli­cher Wahrscheinlichkeit damit rechnen, namentlich wegen ihrer mög­lichen, schwer belastenden Aussagen und mithin aus politischen Grün­den aus Kreisen ihrer vormaligen Peiniger zum Schweigen gebracht zu werden. Adäquater staatlicher Schutz oder eine innerstaatliche Fluchtal­ternative bestünden offensichtlich nicht. Vor diesem Hintergrund erweist sich das Argument des BFM, die Beschwerdeführerin hätte die Behörden in B._______ um Schutz ersuchen können, als in keiner Weise stichhaltig (vgl. zum Ganzen die auf dem Internet abrufbaren Presseartikel "Jeune Afrique" vom 3. Juli 2012 so­wie "Inter Press Service/News Agency" vom 13. August 2012).</w:t>
      </w:r>
    </w:p>
    <w:p>
      <w:r>
        <w:rPr>
          <w:b/>
        </w:rPr>
        <w:t>E. 8.4</w:t>
      </w:r>
    </w:p>
    <w:p>
      <w:r>
        <w:t>Zusammenfassend ergibt sich, dass die Voraussetzungen von Art. 3 und 7 AsylG bei der Beschwerdeführerin für den Zeitpunkt der Ausreise aber auch im aktuellen Zeitpunkt erfüllt sind. Aus den Akten ergeben sich sodann keine kon­kreten Hin­weise auf das Vorliegen von Asylaus­schlussgründen. Dem­nach ist das BFM anzuwei­sen, ihr Asyl zu gewähren. Bei dieser Sachlage kann davon abgese­hen wer­den, auf weitere Beschwerdevorbringen und Beschwerdean­träge einzugehen.</w:t>
      </w:r>
    </w:p>
    <w:p>
      <w:r>
        <w:rPr>
          <w:b/>
        </w:rPr>
        <w:t>E. 9.1</w:t>
      </w:r>
    </w:p>
    <w:p>
      <w:r>
        <w:t>Bei diesem Ausgang des Verfahrens sind keine Kosten aufzuerle­gen.</w:t>
      </w:r>
    </w:p>
    <w:p>
      <w:r>
        <w:rPr>
          <w:b/>
        </w:rPr>
        <w:t>E. 9.2</w:t>
      </w:r>
    </w:p>
    <w:p>
      <w:r>
        <w:t>Obsiegende Parteien haben Anspruch auf eine Parteient­schädi­gung für die ihnen erwachsenen notwendigen Kosten (Art. 7 Abs. 1 des Regle­ments vom 21. Februar 2008 über die Kosten und Ent­schä­di­gungen vor dem Bundes­verwaltungsgericht [VGKE, SR 173.320.2]). Nach­dem sich der not­wendige Vertretungsaufwand aufgrund der Ak­ten­lage hin­rei­chend zu­verlässig abschätzen lässt, er­übrigt sich die Einholung einer Kos­ten­note. Die von der Vorinstanz aus­zu­rich­tende Parteientschädigung ist un­ter Berück­sichtigung der mass­ge­ben­den Be­messungsfaktoren von Amtes wegen auf Fr. 4'000.-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