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D-5823/2023 vom 21. September 2023</w:t>
      </w:r>
    </w:p>
    <w:p>
      <w:r>
        <w:t>Bundesverwaltungsgericht, 2023-09-21, FR</w:t>
      </w:r>
    </w:p>
    <w:p>
      <w:r>
        <w:rPr>
          <w:b/>
        </w:rPr>
        <w:t xml:space="preserve">Quelle: </w:t>
      </w:r>
      <w:r>
        <w:t>https://mcp.opencaselaw.ch/entscheid/bvger_D-5823_2023_d20230921</w:t>
      </w:r>
    </w:p>
    <w:p>
      <w:r>
        <w:t>FR: TAF D-5823/2023 du 21 septembre 2023</w:t>
      </w:r>
    </w:p>
    <w:p>
      <w:r>
        <w:t>IT: TAF D-5823/2023 del 21 settembre 2023</w:t>
      </w:r>
    </w:p>
    <w:p>
      <w:pPr>
        <w:pStyle w:val="Heading2"/>
      </w:pPr>
      <w:r>
        <w:t>Regeste</w:t>
      </w:r>
    </w:p>
    <w:p>
      <w:r>
        <w:t>Asile et renvoi | Asile et renvoi; décision du SEM du 21 septembre 2023</w:t>
      </w:r>
    </w:p>
    <w:p>
      <w:pPr>
        <w:pStyle w:val="Heading2"/>
      </w:pPr>
      <w:r>
        <w:t>Erwägungen</w:t>
      </w:r>
    </w:p>
    <w:p>
      <w:r>
        <w:rPr>
          <w:b/>
        </w:rPr>
        <w:t>E. 23</w:t>
      </w:r>
    </w:p>
    <w:p>
      <w:r>
        <w:t>octobre 2023 (date de remise à la Poste suisse), dans la mesure où les allégués qu’il comporte se bornent pour l’essentiel à exposer une appréciation divergentes de celles du SEM ou à rendre compte d’assertions de nature péremptoire (cf. acte de recours, p. 7 à 10), sans</w:t>
      </w:r>
    </w:p>
    <w:p>
      <w:r>
        <w:t>D-5823/2023 Page 11 toutefois faire état d’arguments inédits et décisifs, aptes à infirmer la motivation qui précède, que dans ces circonstances, il peut pour le surplus être renvoyé aux considérants de la décision attaquée (cf. point II., p. 4 à 8), dès lors que ceux-ci sont suffisamment explicites et motivés, et que le recours ne contient pas d’arguments nouveaux et déterminants, susceptibles d’en remettre en cause le bien-fondé (art. 109 al. 3 LTF, par renvoi de l’art. 4 PA), que ce faisant, le Tribunal constate que c’est à bon droit que l’autorité intimée a dénié la qualité de réfugié à l’intéressé et qu’il a rejeté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w:t>
      </w:r>
    </w:p>
    <w:p>
      <w:r>
        <w:t>D-5823/2023 Page 12 qu’elle est également raisonnablement exigible (art. 83 al. 4 LEI ; ATAF 2011/50 consid. 8.1 - 8.3 et réf. cit.), nonobstant l’appréciation divergente que l’intéressé a fait valoir à teneur de son recours (cf. acte de recours, p. 10 s.), qu'en effet, le Sri Lanka ne se trouve plus, malgré les troubles et protestations qui ont suivi l’élection présidentielle du mois de juillet 2022, en proie à une guerre, une guerre civile ou une situation de violence généralisée (cf. arrêt du Tribunal D-347/2024 du 8 mars 2024, p. 8 et réf. cit.), qu’en l’occurrence, le recourant était anciennement domicilié à (…), localité située dans la région du Vanni, que, selon la jurisprudence du Tribunal, l’exécution du renvoi dans cette région est en principe raisonnablement exigible, sous réserve de certaines conditions (notamment l’accès à un logement et la perspective de pouvoir couvrir ses besoins élémentaires) ; qu’en revanche, pour les personnes apparaissant plus vulnérables à l’isolement social et à l’extrême pauvreté (comme les femmes seules avec ou sans enfant, les individus souffrant de graves problèmes médicaux ou les personnes âgées), l’exécution du renvoi dans le Vanni doit être considérée en principe non raisonnablement exigible, à défaut de conditions particulièrement favorables (cf. arrêt de référence D-3619/2016 du 16 octobre 2017 consid. 9.5, en particulier 9.5.9), qu’en l’espèce, A._______ est jeune (…) et en bonne santé (cf. procès- verbal de l’audition du 11 août 2022, p. 1, pièce no 15/2 de l’e-dossier ; procès-verbal de l’audition du 18 novembre 2022, Q. 34, p. 5, pièce no 19/14 de l’e-dossier) ; qu’il a par ailleurs bénéficié d’une éducation complète, en tant qu’il a déclaré avoir suivi l’école jusqu’au A-level (cf. procès-verbal de l’audition du 18 novembre 2022, Q. 8, p. 3, pièce no 19/14 de l’e-dossier) ; qu’en outre, il est célibataire et n’a pas charge de famille (cf. ibidem, Q. 23 s., p. 4) ; qu’il dispose également d’un réseau familial, constitué notamment de son père, de sa grand-mère paternelle – laquelle a déjà subvenu à ses besoins par le passé (cf. ibidem, Q. 15, p. 3 et Q. 87, p. 11) – ainsi que de sa grand-mère maternelle (…) – laquelle l’a déjà hébergé par le passé – (cf. ibidem, Q. 21, p. 4 et Q. 42, p. 6 s. en lien avec Q. 67, p. 10), de même que d’un oncle installé en Norvège, dont il a affirmé qu’il avait financé son voyage (cf. ibidem, Q. 33, p. 5), soit autant de personnes qui sont susceptibles, le cas échéant, de lui venir en aide au moment de son retour,</w:t>
      </w:r>
    </w:p>
    <w:p>
      <w:r>
        <w:t>D-5823/2023 Page 13 qu’il sied de rappeler à ce stade que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au moment de leur retour (cf. notamment ATAF 2010/41 consid. 8.3.5), qu’enfin, l’exécution du renvoi est possible (art. 83 al. 2 LEI ; ATAF 2008/34 consid. 12 et jurisp. cit.), dès lors que l’intéressé a produit sa carte d’identité originale et qu’il est en toute hypothèse tenu pour le surplus de collaborer à l’obtention des documents devant lui permettre de retourner au Sri Lanka (art. 8 al. 4 LAsi), qu’aussi, le recours doit également être rejeté en tant qu’il porte sur le renvoi et l’exécution de cette mesure, et le dispositif de la décision entreprise confirmé sur ces points, que, s'avérant manifestement infondé dans la mesure de sa recevabilité (cf. supra, p. 7 s’agissant du « complément au recours » du 4 novembre 2023 [date du timbre postal]),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D-5823/2023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